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2139315</wp:posOffset>
            </wp:positionH>
            <wp:positionV relativeFrom="paragraph">
              <wp:posOffset>283210</wp:posOffset>
            </wp:positionV>
            <wp:extent cx="285432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2139315</wp:posOffset>
            </wp:positionH>
            <wp:positionV relativeFrom="paragraph">
              <wp:posOffset>319405</wp:posOffset>
            </wp:positionV>
            <wp:extent cx="28543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3,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2139315</wp:posOffset>
            </wp:positionH>
            <wp:positionV relativeFrom="paragraph">
              <wp:posOffset>302895</wp:posOffset>
            </wp:positionV>
            <wp:extent cx="28543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Bioventus Inc.</w:t>
      </w:r>
    </w:p>
    <w:p>
      <w:pPr>
        <w:spacing w:after="0" w:line="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2139315</wp:posOffset>
            </wp:positionH>
            <wp:positionV relativeFrom="paragraph">
              <wp:posOffset>307975</wp:posOffset>
            </wp:positionV>
            <wp:extent cx="28543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54325" cy="8890"/>
                    </a:xfrm>
                    <a:prstGeom prst="rect">
                      <a:avLst/>
                    </a:prstGeom>
                    <a:noFill/>
                  </pic:spPr>
                </pic:pic>
              </a:graphicData>
            </a:graphic>
          </wp:anchor>
        </w:drawing>
      </w:r>
    </w:p>
    <w:p>
      <w:pPr>
        <w:spacing w:after="0" w:line="200" w:lineRule="exact"/>
        <w:rPr>
          <w:sz w:val="24"/>
          <w:szCs w:val="24"/>
          <w:color w:val="auto"/>
        </w:rPr>
      </w:pPr>
    </w:p>
    <w:p>
      <w:pPr>
        <w:spacing w:after="0" w:line="391" w:lineRule="exact"/>
        <w:rPr>
          <w:sz w:val="24"/>
          <w:szCs w:val="24"/>
          <w:color w:val="auto"/>
        </w:rPr>
      </w:pPr>
    </w:p>
    <w:tbl>
      <w:tblPr>
        <w:tblLayout w:type="fixed"/>
        <w:tblInd w:w="1000" w:type="dxa"/>
        <w:tblCellMar>
          <w:top w:w="0" w:type="dxa"/>
          <w:left w:w="0" w:type="dxa"/>
          <w:bottom w:w="0" w:type="dxa"/>
          <w:right w:w="0" w:type="dxa"/>
        </w:tblCellMar>
      </w:tblPr>
      <w:tr>
        <w:trPr>
          <w:trHeight w:val="238"/>
        </w:trPr>
        <w:tc>
          <w:tcPr>
            <w:tcW w:w="2040" w:type="dxa"/>
            <w:vAlign w:val="bottom"/>
          </w:tcPr>
          <w:p>
            <w:pPr>
              <w:jc w:val="center"/>
              <w:ind w:right="32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200" w:type="dxa"/>
            <w:vAlign w:val="bottom"/>
          </w:tcPr>
          <w:p>
            <w:pPr>
              <w:ind w:left="2160"/>
              <w:spacing w:after="0"/>
              <w:rPr>
                <w:sz w:val="20"/>
                <w:szCs w:val="20"/>
                <w:color w:val="auto"/>
              </w:rPr>
            </w:pPr>
            <w:r>
              <w:rPr>
                <w:rFonts w:ascii="Times New Roman" w:cs="Times New Roman" w:eastAsia="Times New Roman" w:hAnsi="Times New Roman"/>
                <w:sz w:val="18"/>
                <w:szCs w:val="18"/>
                <w:b w:val="1"/>
                <w:bCs w:val="1"/>
                <w:color w:val="auto"/>
              </w:rPr>
              <w:t>001-37844</w:t>
            </w:r>
          </w:p>
        </w:tc>
        <w:tc>
          <w:tcPr>
            <w:tcW w:w="1860" w:type="dxa"/>
            <w:vAlign w:val="bottom"/>
          </w:tcPr>
          <w:p>
            <w:pPr>
              <w:jc w:val="center"/>
              <w:ind w:left="362"/>
              <w:spacing w:after="0"/>
              <w:rPr>
                <w:sz w:val="20"/>
                <w:szCs w:val="20"/>
                <w:color w:val="auto"/>
              </w:rPr>
            </w:pPr>
            <w:r>
              <w:rPr>
                <w:rFonts w:ascii="Times New Roman" w:cs="Times New Roman" w:eastAsia="Times New Roman" w:hAnsi="Times New Roman"/>
                <w:sz w:val="18"/>
                <w:szCs w:val="18"/>
                <w:b w:val="1"/>
                <w:bCs w:val="1"/>
                <w:color w:val="auto"/>
                <w:w w:val="98"/>
              </w:rPr>
              <w:t>81-0980861</w:t>
            </w:r>
          </w:p>
        </w:tc>
      </w:tr>
      <w:tr>
        <w:trPr>
          <w:trHeight w:val="218"/>
        </w:trPr>
        <w:tc>
          <w:tcPr>
            <w:tcW w:w="2040" w:type="dxa"/>
            <w:vAlign w:val="bottom"/>
          </w:tcPr>
          <w:p>
            <w:pPr>
              <w:jc w:val="center"/>
              <w:ind w:right="322"/>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5200" w:type="dxa"/>
            <w:vAlign w:val="bottom"/>
          </w:tcPr>
          <w:p>
            <w:pPr>
              <w:ind w:left="2160"/>
              <w:spacing w:after="0"/>
              <w:rPr>
                <w:sz w:val="20"/>
                <w:szCs w:val="20"/>
                <w:color w:val="auto"/>
              </w:rPr>
            </w:pPr>
            <w:r>
              <w:rPr>
                <w:rFonts w:ascii="Times New Roman" w:cs="Times New Roman" w:eastAsia="Times New Roman" w:hAnsi="Times New Roman"/>
                <w:sz w:val="14"/>
                <w:szCs w:val="14"/>
                <w:b w:val="1"/>
                <w:bCs w:val="1"/>
                <w:color w:val="auto"/>
              </w:rPr>
              <w:t>(Commission</w:t>
            </w:r>
          </w:p>
        </w:tc>
        <w:tc>
          <w:tcPr>
            <w:tcW w:w="1860" w:type="dxa"/>
            <w:vAlign w:val="bottom"/>
          </w:tcPr>
          <w:p>
            <w:pPr>
              <w:jc w:val="center"/>
              <w:ind w:left="362"/>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040" w:type="dxa"/>
            <w:vAlign w:val="bottom"/>
          </w:tcPr>
          <w:p>
            <w:pPr>
              <w:jc w:val="center"/>
              <w:ind w:right="32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5200" w:type="dxa"/>
            <w:vAlign w:val="bottom"/>
          </w:tcPr>
          <w:p>
            <w:pPr>
              <w:ind w:left="214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860" w:type="dxa"/>
            <w:vAlign w:val="bottom"/>
          </w:tcPr>
          <w:p>
            <w:pPr>
              <w:jc w:val="center"/>
              <w:ind w:left="362"/>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r>
        <w:trPr>
          <w:trHeight w:val="415"/>
        </w:trPr>
        <w:tc>
          <w:tcPr>
            <w:tcW w:w="2040" w:type="dxa"/>
            <w:vAlign w:val="bottom"/>
          </w:tcPr>
          <w:p>
            <w:pPr>
              <w:spacing w:after="0"/>
              <w:rPr>
                <w:sz w:val="24"/>
                <w:szCs w:val="24"/>
                <w:color w:val="auto"/>
              </w:rPr>
            </w:pPr>
          </w:p>
        </w:tc>
        <w:tc>
          <w:tcPr>
            <w:tcW w:w="5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4721 Emperor Boulevard, Suite 100</w:t>
            </w:r>
          </w:p>
        </w:tc>
        <w:tc>
          <w:tcPr>
            <w:tcW w:w="1860" w:type="dxa"/>
            <w:vAlign w:val="bottom"/>
          </w:tcPr>
          <w:p>
            <w:pPr>
              <w:spacing w:after="0"/>
              <w:rPr>
                <w:sz w:val="24"/>
                <w:szCs w:val="24"/>
                <w:color w:val="auto"/>
              </w:rPr>
            </w:pPr>
          </w:p>
        </w:tc>
      </w:tr>
      <w:tr>
        <w:trPr>
          <w:trHeight w:val="270"/>
        </w:trPr>
        <w:tc>
          <w:tcPr>
            <w:tcW w:w="2040" w:type="dxa"/>
            <w:vAlign w:val="bottom"/>
          </w:tcPr>
          <w:p>
            <w:pPr>
              <w:spacing w:after="0"/>
              <w:rPr>
                <w:sz w:val="23"/>
                <w:szCs w:val="23"/>
                <w:color w:val="auto"/>
              </w:rPr>
            </w:pPr>
          </w:p>
        </w:tc>
        <w:tc>
          <w:tcPr>
            <w:tcW w:w="5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Durham, North Carolina 27703</w:t>
            </w:r>
          </w:p>
        </w:tc>
        <w:tc>
          <w:tcPr>
            <w:tcW w:w="1860" w:type="dxa"/>
            <w:vAlign w:val="bottom"/>
          </w:tcPr>
          <w:p>
            <w:pPr>
              <w:spacing w:after="0"/>
              <w:rPr>
                <w:sz w:val="23"/>
                <w:szCs w:val="23"/>
                <w:color w:val="auto"/>
              </w:rPr>
            </w:pPr>
          </w:p>
        </w:tc>
      </w:tr>
      <w:tr>
        <w:trPr>
          <w:trHeight w:val="220"/>
        </w:trPr>
        <w:tc>
          <w:tcPr>
            <w:tcW w:w="2040" w:type="dxa"/>
            <w:vAlign w:val="bottom"/>
          </w:tcPr>
          <w:p>
            <w:pPr>
              <w:spacing w:after="0"/>
              <w:rPr>
                <w:sz w:val="19"/>
                <w:szCs w:val="19"/>
                <w:color w:val="auto"/>
              </w:rPr>
            </w:pPr>
          </w:p>
        </w:tc>
        <w:tc>
          <w:tcPr>
            <w:tcW w:w="5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tc>
        <w:tc>
          <w:tcPr>
            <w:tcW w:w="1860" w:type="dxa"/>
            <w:vAlign w:val="bottom"/>
          </w:tcPr>
          <w:p>
            <w:pPr>
              <w:spacing w:after="0"/>
              <w:rPr>
                <w:sz w:val="19"/>
                <w:szCs w:val="19"/>
                <w:color w:val="auto"/>
              </w:rPr>
            </w:pPr>
          </w:p>
        </w:tc>
      </w:tr>
      <w:tr>
        <w:trPr>
          <w:trHeight w:val="280"/>
        </w:trPr>
        <w:tc>
          <w:tcPr>
            <w:tcW w:w="2040" w:type="dxa"/>
            <w:vAlign w:val="bottom"/>
          </w:tcPr>
          <w:p>
            <w:pPr>
              <w:spacing w:after="0"/>
              <w:rPr>
                <w:sz w:val="24"/>
                <w:szCs w:val="24"/>
                <w:color w:val="auto"/>
              </w:rPr>
            </w:pPr>
          </w:p>
        </w:tc>
        <w:tc>
          <w:tcPr>
            <w:tcW w:w="5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Registrant’s telephone number, including area code: </w:t>
            </w:r>
            <w:r>
              <w:rPr>
                <w:rFonts w:ascii="Times New Roman" w:cs="Times New Roman" w:eastAsia="Times New Roman" w:hAnsi="Times New Roman"/>
                <w:sz w:val="17"/>
                <w:szCs w:val="17"/>
                <w:b w:val="1"/>
                <w:bCs w:val="1"/>
                <w:color w:val="auto"/>
              </w:rPr>
              <w:t>(919) 474-6700</w:t>
            </w:r>
          </w:p>
        </w:tc>
        <w:tc>
          <w:tcPr>
            <w:tcW w:w="1860" w:type="dxa"/>
            <w:vAlign w:val="bottom"/>
          </w:tcPr>
          <w:p>
            <w:pPr>
              <w:spacing w:after="0"/>
              <w:rPr>
                <w:sz w:val="24"/>
                <w:szCs w:val="24"/>
                <w:color w:val="auto"/>
              </w:rPr>
            </w:pPr>
          </w:p>
        </w:tc>
      </w:tr>
      <w:tr>
        <w:trPr>
          <w:trHeight w:val="220"/>
        </w:trPr>
        <w:tc>
          <w:tcPr>
            <w:tcW w:w="2040" w:type="dxa"/>
            <w:vAlign w:val="bottom"/>
          </w:tcPr>
          <w:p>
            <w:pPr>
              <w:spacing w:after="0"/>
              <w:rPr>
                <w:sz w:val="19"/>
                <w:szCs w:val="19"/>
                <w:color w:val="auto"/>
              </w:rPr>
            </w:pPr>
          </w:p>
        </w:tc>
        <w:tc>
          <w:tcPr>
            <w:tcW w:w="5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N/A</w:t>
            </w:r>
          </w:p>
        </w:tc>
        <w:tc>
          <w:tcPr>
            <w:tcW w:w="1860" w:type="dxa"/>
            <w:vAlign w:val="bottom"/>
          </w:tcPr>
          <w:p>
            <w:pPr>
              <w:spacing w:after="0"/>
              <w:rPr>
                <w:sz w:val="19"/>
                <w:szCs w:val="19"/>
                <w:color w:val="auto"/>
              </w:rPr>
            </w:pPr>
          </w:p>
        </w:tc>
      </w:tr>
      <w:tr>
        <w:trPr>
          <w:trHeight w:val="230"/>
        </w:trPr>
        <w:tc>
          <w:tcPr>
            <w:tcW w:w="2040" w:type="dxa"/>
            <w:vAlign w:val="bottom"/>
          </w:tcPr>
          <w:p>
            <w:pPr>
              <w:spacing w:after="0"/>
              <w:rPr>
                <w:sz w:val="19"/>
                <w:szCs w:val="19"/>
                <w:color w:val="auto"/>
              </w:rPr>
            </w:pPr>
          </w:p>
        </w:tc>
        <w:tc>
          <w:tcPr>
            <w:tcW w:w="5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tc>
        <w:tc>
          <w:tcPr>
            <w:tcW w:w="1860" w:type="dxa"/>
            <w:vAlign w:val="bottom"/>
          </w:tcPr>
          <w:p>
            <w:pPr>
              <w:spacing w:after="0"/>
              <w:rPr>
                <w:sz w:val="19"/>
                <w:szCs w:val="19"/>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2139315</wp:posOffset>
            </wp:positionH>
            <wp:positionV relativeFrom="paragraph">
              <wp:posOffset>280670</wp:posOffset>
            </wp:positionV>
            <wp:extent cx="28543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200" w:lineRule="exact"/>
        <w:rPr>
          <w:sz w:val="24"/>
          <w:szCs w:val="24"/>
          <w:color w:val="auto"/>
        </w:rPr>
      </w:pPr>
    </w:p>
    <w:p>
      <w:pPr>
        <w:spacing w:after="0" w:line="366" w:lineRule="exact"/>
        <w:rPr>
          <w:sz w:val="24"/>
          <w:szCs w:val="24"/>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36" w:lineRule="exact"/>
        <w:rPr>
          <w:sz w:val="24"/>
          <w:szCs w:val="24"/>
          <w:color w:val="auto"/>
        </w:rPr>
      </w:pPr>
    </w:p>
    <w:p>
      <w:pPr>
        <w:ind w:left="680" w:hanging="348"/>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680" w:hanging="348"/>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55" w:lineRule="exact"/>
        <w:rPr>
          <w:sz w:val="24"/>
          <w:szCs w:val="24"/>
          <w:color w:val="auto"/>
        </w:rPr>
      </w:pPr>
    </w:p>
    <w:p>
      <w:pPr>
        <w:ind w:left="340"/>
        <w:spacing w:after="0" w:line="207" w:lineRule="exact"/>
        <w:tabs>
          <w:tab w:leader="none" w:pos="660" w:val="left"/>
          <w:tab w:leader="none" w:pos="7520" w:val="left"/>
        </w:tabs>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Pre-commencement communications pursuant to Rule 14d-2(b) under the Exchange Act (17</w:t>
        <w:tab/>
        <w:t>CFR 240.14d-2(b))</w:t>
      </w:r>
    </w:p>
    <w:p>
      <w:pPr>
        <w:spacing w:after="0" w:line="71" w:lineRule="exact"/>
        <w:rPr>
          <w:sz w:val="24"/>
          <w:szCs w:val="24"/>
          <w:color w:val="auto"/>
        </w:rPr>
      </w:pPr>
    </w:p>
    <w:p>
      <w:pPr>
        <w:ind w:right="2520" w:firstLine="332"/>
        <w:spacing w:after="0" w:line="340" w:lineRule="auto"/>
        <w:tabs>
          <w:tab w:leader="none" w:pos="666"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176"/>
        </w:trPr>
        <w:tc>
          <w:tcPr>
            <w:tcW w:w="5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r>
      <w:tr>
        <w:trPr>
          <w:trHeight w:val="217"/>
        </w:trPr>
        <w:tc>
          <w:tcPr>
            <w:tcW w:w="58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7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r>
      <w:tr>
        <w:trPr>
          <w:trHeight w:val="24"/>
        </w:trPr>
        <w:tc>
          <w:tcPr>
            <w:tcW w:w="5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r>
      <w:tr>
        <w:trPr>
          <w:trHeight w:val="236"/>
        </w:trPr>
        <w:tc>
          <w:tcPr>
            <w:tcW w:w="58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Class A common Stock, $0.001 par value per share</w:t>
            </w:r>
          </w:p>
        </w:tc>
        <w:tc>
          <w:tcPr>
            <w:tcW w:w="17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BVS</w:t>
            </w: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Select Market</w:t>
            </w:r>
          </w:p>
        </w:tc>
      </w:tr>
    </w:tbl>
    <w:p>
      <w:pPr>
        <w:spacing w:after="0" w:line="225" w:lineRule="exact"/>
        <w:rPr>
          <w:sz w:val="24"/>
          <w:szCs w:val="24"/>
          <w:color w:val="auto"/>
        </w:rPr>
      </w:pPr>
    </w:p>
    <w:p>
      <w:pPr>
        <w:jc w:val="both"/>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8"/>
          <w:szCs w:val="18"/>
          <w:color w:val="auto"/>
        </w:rPr>
        <w:t>☒</w:t>
      </w:r>
    </w:p>
    <w:p>
      <w:pPr>
        <w:spacing w:after="0" w:line="89"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861695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1092200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87"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212529"/>
        </w:rPr>
        <w:t>Item 5.07.</w:t>
      </w:r>
      <w:r>
        <w:rPr>
          <w:sz w:val="20"/>
          <w:szCs w:val="20"/>
          <w:color w:val="auto"/>
        </w:rPr>
        <w:tab/>
      </w:r>
      <w:r>
        <w:rPr>
          <w:rFonts w:ascii="Times New Roman" w:cs="Times New Roman" w:eastAsia="Times New Roman" w:hAnsi="Times New Roman"/>
          <w:sz w:val="17"/>
          <w:szCs w:val="17"/>
          <w:b w:val="1"/>
          <w:bCs w:val="1"/>
          <w:color w:val="212529"/>
        </w:rPr>
        <w:t>Submission of Matters to a Vote of Security Holders.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Bioventus, Inc. (the “Company”) held its 2026 Annual Meeting of Stockholders (the “2026 Annual Meeting”) on June 3, 2026. A total of 75,279,174 shares (the “Shares”) of both Class A common stock and Class B common stock (collectively, the “Common Stock”) were present in person or represented by proxy at the 2026 Annual Meeting, representing approximately 90.23% of the outstanding Shares of Common Stock entitled to vote as a single class as of the April 6, 2026 record date.</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proposals were voted upon at the 2026 Annual Meeting and the final voting results with respect to each such proposal are set forth below.</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the 2026 Annual Meeting, the stockholders elected the following directors to serve on the Company’s Board of Directors until the 2027 annual meeting of stockholders and until each such director’s respective successor is elected and qualified, or until each such director’s death, resignation or removal, based on the following votes: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Nominee</w:t>
            </w:r>
          </w:p>
        </w:tc>
        <w:tc>
          <w:tcPr>
            <w:tcW w:w="2320" w:type="dxa"/>
            <w:vAlign w:val="bottom"/>
            <w:gridSpan w:val="2"/>
          </w:tcPr>
          <w:p>
            <w:pPr>
              <w:ind w:left="1000"/>
              <w:spacing w:after="0"/>
              <w:rPr>
                <w:sz w:val="20"/>
                <w:szCs w:val="20"/>
                <w:color w:val="auto"/>
              </w:rPr>
            </w:pPr>
            <w:r>
              <w:rPr>
                <w:rFonts w:ascii="Times New Roman" w:cs="Times New Roman" w:eastAsia="Times New Roman" w:hAnsi="Times New Roman"/>
                <w:sz w:val="14"/>
                <w:szCs w:val="14"/>
                <w:b w:val="1"/>
                <w:bCs w:val="1"/>
                <w:color w:val="auto"/>
              </w:rPr>
              <w:t>For</w:t>
            </w:r>
          </w:p>
        </w:tc>
        <w:tc>
          <w:tcPr>
            <w:tcW w:w="2320" w:type="dxa"/>
            <w:vAlign w:val="bottom"/>
            <w:gridSpan w:val="2"/>
          </w:tcPr>
          <w:p>
            <w:pPr>
              <w:ind w:left="820"/>
              <w:spacing w:after="0"/>
              <w:rPr>
                <w:sz w:val="20"/>
                <w:szCs w:val="20"/>
                <w:color w:val="auto"/>
              </w:rPr>
            </w:pPr>
            <w:r>
              <w:rPr>
                <w:rFonts w:ascii="Times New Roman" w:cs="Times New Roman" w:eastAsia="Times New Roman" w:hAnsi="Times New Roman"/>
                <w:sz w:val="14"/>
                <w:szCs w:val="14"/>
                <w:b w:val="1"/>
                <w:bCs w:val="1"/>
                <w:color w:val="auto"/>
              </w:rPr>
              <w:t>Withheld</w:t>
            </w:r>
          </w:p>
        </w:tc>
        <w:tc>
          <w:tcPr>
            <w:tcW w:w="2220" w:type="dxa"/>
            <w:vAlign w:val="bottom"/>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Broker Non-Votes</w:t>
            </w:r>
          </w:p>
        </w:tc>
      </w:tr>
      <w:tr>
        <w:trPr>
          <w:trHeight w:val="23"/>
        </w:trPr>
        <w:tc>
          <w:tcPr>
            <w:tcW w:w="3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r>
      <w:tr>
        <w:trPr>
          <w:trHeight w:val="257"/>
        </w:trPr>
        <w:tc>
          <w:tcPr>
            <w:tcW w:w="40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William A. Hawkins</w:t>
            </w:r>
          </w:p>
        </w:tc>
        <w:tc>
          <w:tcPr>
            <w:tcW w:w="2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67,405,961</w:t>
            </w:r>
          </w:p>
        </w:tc>
        <w:tc>
          <w:tcPr>
            <w:tcW w:w="100" w:type="dxa"/>
            <w:vAlign w:val="bottom"/>
            <w:tcBorders>
              <w:bottom w:val="single" w:sz="8" w:color="CCEEFF"/>
            </w:tcBorders>
            <w:shd w:val="clear" w:color="auto" w:fill="CCEEFF"/>
          </w:tcPr>
          <w:p>
            <w:pPr>
              <w:spacing w:after="0"/>
              <w:rPr>
                <w:sz w:val="22"/>
                <w:szCs w:val="22"/>
                <w:color w:val="auto"/>
              </w:rPr>
            </w:pPr>
          </w:p>
        </w:tc>
        <w:tc>
          <w:tcPr>
            <w:tcW w:w="2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1,128,994</w:t>
            </w:r>
          </w:p>
        </w:tc>
        <w:tc>
          <w:tcPr>
            <w:tcW w:w="100" w:type="dxa"/>
            <w:vAlign w:val="bottom"/>
            <w:tcBorders>
              <w:bottom w:val="single" w:sz="8" w:color="CCEEFF"/>
            </w:tcBorders>
            <w:shd w:val="clear" w:color="auto" w:fill="CCEEFF"/>
          </w:tcPr>
          <w:p>
            <w:pPr>
              <w:spacing w:after="0"/>
              <w:rPr>
                <w:sz w:val="22"/>
                <w:szCs w:val="22"/>
                <w:color w:val="auto"/>
              </w:rPr>
            </w:pPr>
          </w:p>
        </w:tc>
        <w:tc>
          <w:tcPr>
            <w:tcW w:w="2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6,744,219</w:t>
            </w:r>
          </w:p>
        </w:tc>
      </w:tr>
      <w:tr>
        <w:trPr>
          <w:trHeight w:val="243"/>
        </w:trPr>
        <w:tc>
          <w:tcPr>
            <w:tcW w:w="4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John A. Bartholdson</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68,365,980</w:t>
            </w:r>
          </w:p>
        </w:tc>
        <w:tc>
          <w:tcPr>
            <w:tcW w:w="100" w:type="dxa"/>
            <w:vAlign w:val="bottom"/>
          </w:tcPr>
          <w:p>
            <w:pPr>
              <w:spacing w:after="0"/>
              <w:rPr>
                <w:sz w:val="21"/>
                <w:szCs w:val="21"/>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168,975</w:t>
            </w:r>
          </w:p>
        </w:tc>
        <w:tc>
          <w:tcPr>
            <w:tcW w:w="100" w:type="dxa"/>
            <w:vAlign w:val="bottom"/>
          </w:tcPr>
          <w:p>
            <w:pPr>
              <w:spacing w:after="0"/>
              <w:rPr>
                <w:sz w:val="21"/>
                <w:szCs w:val="21"/>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6,744,219</w:t>
            </w:r>
          </w:p>
        </w:tc>
      </w:tr>
      <w:tr>
        <w:trPr>
          <w:trHeight w:val="40"/>
        </w:trPr>
        <w:tc>
          <w:tcPr>
            <w:tcW w:w="3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20" w:type="dxa"/>
            <w:vAlign w:val="bottom"/>
          </w:tcPr>
          <w:p>
            <w:pPr>
              <w:spacing w:after="0"/>
              <w:rPr>
                <w:sz w:val="3"/>
                <w:szCs w:val="3"/>
                <w:color w:val="auto"/>
              </w:rPr>
            </w:pPr>
          </w:p>
        </w:tc>
      </w:tr>
      <w:tr>
        <w:trPr>
          <w:trHeight w:val="263"/>
        </w:trPr>
        <w:tc>
          <w:tcPr>
            <w:tcW w:w="40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Patrick J. Beyer</w:t>
            </w:r>
          </w:p>
        </w:tc>
        <w:tc>
          <w:tcPr>
            <w:tcW w:w="2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68,062,114</w:t>
            </w:r>
          </w:p>
        </w:tc>
        <w:tc>
          <w:tcPr>
            <w:tcW w:w="100" w:type="dxa"/>
            <w:vAlign w:val="bottom"/>
            <w:tcBorders>
              <w:bottom w:val="single" w:sz="8" w:color="CCEEFF"/>
            </w:tcBorders>
            <w:shd w:val="clear" w:color="auto" w:fill="CCEEFF"/>
          </w:tcPr>
          <w:p>
            <w:pPr>
              <w:spacing w:after="0"/>
              <w:rPr>
                <w:sz w:val="22"/>
                <w:szCs w:val="22"/>
                <w:color w:val="auto"/>
              </w:rPr>
            </w:pPr>
          </w:p>
        </w:tc>
        <w:tc>
          <w:tcPr>
            <w:tcW w:w="2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472,841</w:t>
            </w:r>
          </w:p>
        </w:tc>
        <w:tc>
          <w:tcPr>
            <w:tcW w:w="100" w:type="dxa"/>
            <w:vAlign w:val="bottom"/>
            <w:tcBorders>
              <w:bottom w:val="single" w:sz="8" w:color="CCEEFF"/>
            </w:tcBorders>
            <w:shd w:val="clear" w:color="auto" w:fill="CCEEFF"/>
          </w:tcPr>
          <w:p>
            <w:pPr>
              <w:spacing w:after="0"/>
              <w:rPr>
                <w:sz w:val="22"/>
                <w:szCs w:val="22"/>
                <w:color w:val="auto"/>
              </w:rPr>
            </w:pPr>
          </w:p>
        </w:tc>
        <w:tc>
          <w:tcPr>
            <w:tcW w:w="2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6,744,219</w:t>
            </w:r>
          </w:p>
        </w:tc>
      </w:tr>
      <w:tr>
        <w:trPr>
          <w:trHeight w:val="243"/>
        </w:trPr>
        <w:tc>
          <w:tcPr>
            <w:tcW w:w="4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Robert E. Claypoole</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68,360,467</w:t>
            </w:r>
          </w:p>
        </w:tc>
        <w:tc>
          <w:tcPr>
            <w:tcW w:w="100" w:type="dxa"/>
            <w:vAlign w:val="bottom"/>
          </w:tcPr>
          <w:p>
            <w:pPr>
              <w:spacing w:after="0"/>
              <w:rPr>
                <w:sz w:val="21"/>
                <w:szCs w:val="21"/>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174,488</w:t>
            </w:r>
          </w:p>
        </w:tc>
        <w:tc>
          <w:tcPr>
            <w:tcW w:w="100" w:type="dxa"/>
            <w:vAlign w:val="bottom"/>
          </w:tcPr>
          <w:p>
            <w:pPr>
              <w:spacing w:after="0"/>
              <w:rPr>
                <w:sz w:val="21"/>
                <w:szCs w:val="21"/>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6,744,219</w:t>
            </w:r>
          </w:p>
        </w:tc>
      </w:tr>
      <w:tr>
        <w:trPr>
          <w:trHeight w:val="41"/>
        </w:trPr>
        <w:tc>
          <w:tcPr>
            <w:tcW w:w="3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20" w:type="dxa"/>
            <w:vAlign w:val="bottom"/>
          </w:tcPr>
          <w:p>
            <w:pPr>
              <w:spacing w:after="0"/>
              <w:rPr>
                <w:sz w:val="3"/>
                <w:szCs w:val="3"/>
                <w:color w:val="auto"/>
              </w:rPr>
            </w:pPr>
          </w:p>
        </w:tc>
      </w:tr>
      <w:tr>
        <w:trPr>
          <w:trHeight w:val="263"/>
        </w:trPr>
        <w:tc>
          <w:tcPr>
            <w:tcW w:w="40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Philip G. Cowdy</w:t>
            </w:r>
          </w:p>
        </w:tc>
        <w:tc>
          <w:tcPr>
            <w:tcW w:w="2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67,748,512</w:t>
            </w:r>
          </w:p>
        </w:tc>
        <w:tc>
          <w:tcPr>
            <w:tcW w:w="100" w:type="dxa"/>
            <w:vAlign w:val="bottom"/>
            <w:tcBorders>
              <w:bottom w:val="single" w:sz="8" w:color="CCEEFF"/>
            </w:tcBorders>
            <w:shd w:val="clear" w:color="auto" w:fill="CCEEFF"/>
          </w:tcPr>
          <w:p>
            <w:pPr>
              <w:spacing w:after="0"/>
              <w:rPr>
                <w:sz w:val="22"/>
                <w:szCs w:val="22"/>
                <w:color w:val="auto"/>
              </w:rPr>
            </w:pPr>
          </w:p>
        </w:tc>
        <w:tc>
          <w:tcPr>
            <w:tcW w:w="2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786,443</w:t>
            </w:r>
          </w:p>
        </w:tc>
        <w:tc>
          <w:tcPr>
            <w:tcW w:w="100" w:type="dxa"/>
            <w:vAlign w:val="bottom"/>
            <w:tcBorders>
              <w:bottom w:val="single" w:sz="8" w:color="CCEEFF"/>
            </w:tcBorders>
            <w:shd w:val="clear" w:color="auto" w:fill="CCEEFF"/>
          </w:tcPr>
          <w:p>
            <w:pPr>
              <w:spacing w:after="0"/>
              <w:rPr>
                <w:sz w:val="22"/>
                <w:szCs w:val="22"/>
                <w:color w:val="auto"/>
              </w:rPr>
            </w:pPr>
          </w:p>
        </w:tc>
        <w:tc>
          <w:tcPr>
            <w:tcW w:w="2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6,744,219</w:t>
            </w:r>
          </w:p>
        </w:tc>
      </w:tr>
      <w:tr>
        <w:trPr>
          <w:trHeight w:val="243"/>
        </w:trPr>
        <w:tc>
          <w:tcPr>
            <w:tcW w:w="4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Ajay Dhankhar</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68,459,149</w:t>
            </w:r>
          </w:p>
        </w:tc>
        <w:tc>
          <w:tcPr>
            <w:tcW w:w="100" w:type="dxa"/>
            <w:vAlign w:val="bottom"/>
          </w:tcPr>
          <w:p>
            <w:pPr>
              <w:spacing w:after="0"/>
              <w:rPr>
                <w:sz w:val="21"/>
                <w:szCs w:val="21"/>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75,806</w:t>
            </w:r>
          </w:p>
        </w:tc>
        <w:tc>
          <w:tcPr>
            <w:tcW w:w="100" w:type="dxa"/>
            <w:vAlign w:val="bottom"/>
          </w:tcPr>
          <w:p>
            <w:pPr>
              <w:spacing w:after="0"/>
              <w:rPr>
                <w:sz w:val="21"/>
                <w:szCs w:val="21"/>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6,744,219</w:t>
            </w:r>
          </w:p>
        </w:tc>
      </w:tr>
      <w:tr>
        <w:trPr>
          <w:trHeight w:val="40"/>
        </w:trPr>
        <w:tc>
          <w:tcPr>
            <w:tcW w:w="3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20" w:type="dxa"/>
            <w:vAlign w:val="bottom"/>
          </w:tcPr>
          <w:p>
            <w:pPr>
              <w:spacing w:after="0"/>
              <w:rPr>
                <w:sz w:val="3"/>
                <w:szCs w:val="3"/>
                <w:color w:val="auto"/>
              </w:rPr>
            </w:pPr>
          </w:p>
        </w:tc>
      </w:tr>
      <w:tr>
        <w:trPr>
          <w:trHeight w:val="263"/>
        </w:trPr>
        <w:tc>
          <w:tcPr>
            <w:tcW w:w="40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Mary Kay Ladone</w:t>
            </w:r>
          </w:p>
        </w:tc>
        <w:tc>
          <w:tcPr>
            <w:tcW w:w="2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67,160,936</w:t>
            </w:r>
          </w:p>
        </w:tc>
        <w:tc>
          <w:tcPr>
            <w:tcW w:w="100" w:type="dxa"/>
            <w:vAlign w:val="bottom"/>
            <w:tcBorders>
              <w:bottom w:val="single" w:sz="8" w:color="CCEEFF"/>
            </w:tcBorders>
            <w:shd w:val="clear" w:color="auto" w:fill="CCEEFF"/>
          </w:tcPr>
          <w:p>
            <w:pPr>
              <w:spacing w:after="0"/>
              <w:rPr>
                <w:sz w:val="22"/>
                <w:szCs w:val="22"/>
                <w:color w:val="auto"/>
              </w:rPr>
            </w:pPr>
          </w:p>
        </w:tc>
        <w:tc>
          <w:tcPr>
            <w:tcW w:w="2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1,374,019</w:t>
            </w:r>
          </w:p>
        </w:tc>
        <w:tc>
          <w:tcPr>
            <w:tcW w:w="100" w:type="dxa"/>
            <w:vAlign w:val="bottom"/>
            <w:tcBorders>
              <w:bottom w:val="single" w:sz="8" w:color="CCEEFF"/>
            </w:tcBorders>
            <w:shd w:val="clear" w:color="auto" w:fill="CCEEFF"/>
          </w:tcPr>
          <w:p>
            <w:pPr>
              <w:spacing w:after="0"/>
              <w:rPr>
                <w:sz w:val="22"/>
                <w:szCs w:val="22"/>
                <w:color w:val="auto"/>
              </w:rPr>
            </w:pPr>
          </w:p>
        </w:tc>
        <w:tc>
          <w:tcPr>
            <w:tcW w:w="2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6,744,219</w:t>
            </w:r>
          </w:p>
        </w:tc>
      </w:tr>
      <w:tr>
        <w:trPr>
          <w:trHeight w:val="243"/>
        </w:trPr>
        <w:tc>
          <w:tcPr>
            <w:tcW w:w="4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Michelle McMurry-Heath</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68,073,685</w:t>
            </w:r>
          </w:p>
        </w:tc>
        <w:tc>
          <w:tcPr>
            <w:tcW w:w="100" w:type="dxa"/>
            <w:vAlign w:val="bottom"/>
          </w:tcPr>
          <w:p>
            <w:pPr>
              <w:spacing w:after="0"/>
              <w:rPr>
                <w:sz w:val="21"/>
                <w:szCs w:val="21"/>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461,270</w:t>
            </w:r>
          </w:p>
        </w:tc>
        <w:tc>
          <w:tcPr>
            <w:tcW w:w="100" w:type="dxa"/>
            <w:vAlign w:val="bottom"/>
          </w:tcPr>
          <w:p>
            <w:pPr>
              <w:spacing w:after="0"/>
              <w:rPr>
                <w:sz w:val="21"/>
                <w:szCs w:val="21"/>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6,744,219</w:t>
            </w:r>
          </w:p>
        </w:tc>
      </w:tr>
      <w:tr>
        <w:trPr>
          <w:trHeight w:val="40"/>
        </w:trPr>
        <w:tc>
          <w:tcPr>
            <w:tcW w:w="3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20" w:type="dxa"/>
            <w:vAlign w:val="bottom"/>
          </w:tcPr>
          <w:p>
            <w:pPr>
              <w:spacing w:after="0"/>
              <w:rPr>
                <w:sz w:val="3"/>
                <w:szCs w:val="3"/>
                <w:color w:val="auto"/>
              </w:rPr>
            </w:pPr>
          </w:p>
        </w:tc>
      </w:tr>
      <w:tr>
        <w:trPr>
          <w:trHeight w:val="263"/>
        </w:trPr>
        <w:tc>
          <w:tcPr>
            <w:tcW w:w="40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Guido J. Neels</w:t>
            </w:r>
          </w:p>
        </w:tc>
        <w:tc>
          <w:tcPr>
            <w:tcW w:w="2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68,049,659</w:t>
            </w:r>
          </w:p>
        </w:tc>
        <w:tc>
          <w:tcPr>
            <w:tcW w:w="100" w:type="dxa"/>
            <w:vAlign w:val="bottom"/>
            <w:tcBorders>
              <w:bottom w:val="single" w:sz="8" w:color="CCEEFF"/>
            </w:tcBorders>
            <w:shd w:val="clear" w:color="auto" w:fill="CCEEFF"/>
          </w:tcPr>
          <w:p>
            <w:pPr>
              <w:spacing w:after="0"/>
              <w:rPr>
                <w:sz w:val="22"/>
                <w:szCs w:val="22"/>
                <w:color w:val="auto"/>
              </w:rPr>
            </w:pPr>
          </w:p>
        </w:tc>
        <w:tc>
          <w:tcPr>
            <w:tcW w:w="2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485,296</w:t>
            </w:r>
          </w:p>
        </w:tc>
        <w:tc>
          <w:tcPr>
            <w:tcW w:w="100" w:type="dxa"/>
            <w:vAlign w:val="bottom"/>
            <w:tcBorders>
              <w:bottom w:val="single" w:sz="8" w:color="CCEEFF"/>
            </w:tcBorders>
            <w:shd w:val="clear" w:color="auto" w:fill="CCEEFF"/>
          </w:tcPr>
          <w:p>
            <w:pPr>
              <w:spacing w:after="0"/>
              <w:rPr>
                <w:sz w:val="22"/>
                <w:szCs w:val="22"/>
                <w:color w:val="auto"/>
              </w:rPr>
            </w:pPr>
          </w:p>
        </w:tc>
        <w:tc>
          <w:tcPr>
            <w:tcW w:w="2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6,744,219</w:t>
            </w:r>
          </w:p>
        </w:tc>
      </w:tr>
      <w:tr>
        <w:trPr>
          <w:trHeight w:val="243"/>
        </w:trPr>
        <w:tc>
          <w:tcPr>
            <w:tcW w:w="4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Guy P. Nohra</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67,767,651</w:t>
            </w:r>
          </w:p>
        </w:tc>
        <w:tc>
          <w:tcPr>
            <w:tcW w:w="100" w:type="dxa"/>
            <w:vAlign w:val="bottom"/>
          </w:tcPr>
          <w:p>
            <w:pPr>
              <w:spacing w:after="0"/>
              <w:rPr>
                <w:sz w:val="21"/>
                <w:szCs w:val="21"/>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767,304</w:t>
            </w:r>
          </w:p>
        </w:tc>
        <w:tc>
          <w:tcPr>
            <w:tcW w:w="100" w:type="dxa"/>
            <w:vAlign w:val="bottom"/>
          </w:tcPr>
          <w:p>
            <w:pPr>
              <w:spacing w:after="0"/>
              <w:rPr>
                <w:sz w:val="21"/>
                <w:szCs w:val="21"/>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6,744,219</w:t>
            </w:r>
          </w:p>
        </w:tc>
      </w:tr>
      <w:tr>
        <w:trPr>
          <w:trHeight w:val="40"/>
        </w:trPr>
        <w:tc>
          <w:tcPr>
            <w:tcW w:w="3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20" w:type="dxa"/>
            <w:vAlign w:val="bottom"/>
          </w:tcPr>
          <w:p>
            <w:pPr>
              <w:spacing w:after="0"/>
              <w:rPr>
                <w:sz w:val="3"/>
                <w:szCs w:val="3"/>
                <w:color w:val="auto"/>
              </w:rPr>
            </w:pPr>
          </w:p>
        </w:tc>
      </w:tr>
      <w:tr>
        <w:trPr>
          <w:trHeight w:val="264"/>
        </w:trPr>
        <w:tc>
          <w:tcPr>
            <w:tcW w:w="40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Susan M. Stalnecker</w:t>
            </w:r>
          </w:p>
        </w:tc>
        <w:tc>
          <w:tcPr>
            <w:tcW w:w="2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68,060,987</w:t>
            </w:r>
          </w:p>
        </w:tc>
        <w:tc>
          <w:tcPr>
            <w:tcW w:w="100" w:type="dxa"/>
            <w:vAlign w:val="bottom"/>
            <w:tcBorders>
              <w:bottom w:val="single" w:sz="8" w:color="CCEEFF"/>
            </w:tcBorders>
            <w:shd w:val="clear" w:color="auto" w:fill="CCEEFF"/>
          </w:tcPr>
          <w:p>
            <w:pPr>
              <w:spacing w:after="0"/>
              <w:rPr>
                <w:sz w:val="22"/>
                <w:szCs w:val="22"/>
                <w:color w:val="auto"/>
              </w:rPr>
            </w:pPr>
          </w:p>
        </w:tc>
        <w:tc>
          <w:tcPr>
            <w:tcW w:w="2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473,968</w:t>
            </w:r>
          </w:p>
        </w:tc>
        <w:tc>
          <w:tcPr>
            <w:tcW w:w="100" w:type="dxa"/>
            <w:vAlign w:val="bottom"/>
            <w:tcBorders>
              <w:bottom w:val="single" w:sz="8" w:color="CCEEFF"/>
            </w:tcBorders>
            <w:shd w:val="clear" w:color="auto" w:fill="CCEEFF"/>
          </w:tcPr>
          <w:p>
            <w:pPr>
              <w:spacing w:after="0"/>
              <w:rPr>
                <w:sz w:val="22"/>
                <w:szCs w:val="22"/>
                <w:color w:val="auto"/>
              </w:rPr>
            </w:pPr>
          </w:p>
        </w:tc>
        <w:tc>
          <w:tcPr>
            <w:tcW w:w="2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6,744,219</w:t>
            </w:r>
          </w:p>
        </w:tc>
      </w:tr>
      <w:tr>
        <w:trPr>
          <w:trHeight w:val="243"/>
        </w:trPr>
        <w:tc>
          <w:tcPr>
            <w:tcW w:w="4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Martin P. Sutter</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61,710,650</w:t>
            </w:r>
          </w:p>
        </w:tc>
        <w:tc>
          <w:tcPr>
            <w:tcW w:w="100" w:type="dxa"/>
            <w:vAlign w:val="bottom"/>
          </w:tcPr>
          <w:p>
            <w:pPr>
              <w:spacing w:after="0"/>
              <w:rPr>
                <w:sz w:val="21"/>
                <w:szCs w:val="21"/>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6,824,305</w:t>
            </w:r>
          </w:p>
        </w:tc>
        <w:tc>
          <w:tcPr>
            <w:tcW w:w="100" w:type="dxa"/>
            <w:vAlign w:val="bottom"/>
          </w:tcPr>
          <w:p>
            <w:pPr>
              <w:spacing w:after="0"/>
              <w:rPr>
                <w:sz w:val="21"/>
                <w:szCs w:val="21"/>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6,744,219</w:t>
            </w:r>
          </w:p>
        </w:tc>
      </w:tr>
    </w:tbl>
    <w:p>
      <w:pPr>
        <w:spacing w:after="0" w:line="211"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The stockholders also ratified the appointment of Grant Thornton LLP as the Company’s independent registered public accounting firm for the fiscal year ending December 31, 2026. The vote for such ratification was 75,228,481 Shares for, 5,021 Shares against, 45,672 Shares abstaining, and no broker non-votes.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6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BIOVENTUS INC.</w:t>
      </w:r>
    </w:p>
    <w:p>
      <w:pPr>
        <w:spacing w:after="0" w:line="297" w:lineRule="exact"/>
        <w:rPr>
          <w:sz w:val="20"/>
          <w:szCs w:val="20"/>
          <w:color w:val="auto"/>
        </w:rPr>
      </w:pPr>
    </w:p>
    <w:p>
      <w:pPr>
        <w:ind w:left="20"/>
        <w:spacing w:after="0"/>
        <w:tabs>
          <w:tab w:leader="none" w:pos="4960" w:val="left"/>
          <w:tab w:leader="none" w:pos="5440" w:val="left"/>
        </w:tabs>
        <w:rPr>
          <w:sz w:val="20"/>
          <w:szCs w:val="20"/>
          <w:color w:val="auto"/>
        </w:rPr>
      </w:pPr>
      <w:r>
        <w:rPr>
          <w:rFonts w:ascii="Times New Roman" w:cs="Times New Roman" w:eastAsia="Times New Roman" w:hAnsi="Times New Roman"/>
          <w:sz w:val="18"/>
          <w:szCs w:val="18"/>
          <w:color w:val="auto"/>
        </w:rPr>
        <w:t>Date: June 4,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Anthony D’Adamio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3459480</wp:posOffset>
            </wp:positionH>
            <wp:positionV relativeFrom="paragraph">
              <wp:posOffset>43180</wp:posOffset>
            </wp:positionV>
            <wp:extent cx="29057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905760" cy="8255"/>
                    </a:xfrm>
                    <a:prstGeom prst="rect">
                      <a:avLst/>
                    </a:prstGeom>
                    <a:noFill/>
                  </pic:spPr>
                </pic:pic>
              </a:graphicData>
            </a:graphic>
          </wp:anchor>
        </w:drawing>
      </w:r>
    </w:p>
    <w:p>
      <w:pPr>
        <w:spacing w:after="0" w:line="70"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Anthony D’Adamio</w:t>
      </w:r>
    </w:p>
    <w:p>
      <w:pPr>
        <w:spacing w:after="0" w:line="27"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Senior Vice President and General Counsel</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2026-06-04T06:55:20Z</dcterms:created>
  <dcterms:modified xsi:type="dcterms:W3CDTF">2026-06-04T06:55:20Z</dcterms:modified>
</cp:coreProperties>
</file>