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844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844415"/>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McMurry-Heath Michelle</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8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Bioventus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BVS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2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25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tcBorders>
              <w:top w:val="single" w:sz="8" w:color="EEEEEE"/>
            </w:tcBorders>
          </w:tcPr>
          <w:p>
            <w:pPr>
              <w:spacing w:after="0"/>
              <w:rPr>
                <w:sz w:val="11"/>
                <w:szCs w:val="11"/>
                <w:color w:val="auto"/>
              </w:rPr>
            </w:pPr>
          </w:p>
        </w:tc>
        <w:tc>
          <w:tcPr>
            <w:tcW w:w="7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38"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3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0000FF"/>
              </w:rPr>
              <w:t>06/02/2026</w:t>
            </w: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6"/>
          <w:szCs w:val="16"/>
          <w:color w:val="0000FF"/>
        </w:rPr>
        <w:t>4721 EMPEROR BOULEVARD, SUITE 100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0"/>
          <w:szCs w:val="20"/>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0"/>
          <w:szCs w:val="20"/>
          <w:color w:val="auto"/>
        </w:rPr>
      </w:pPr>
    </w:p>
    <w:p>
      <w:pPr>
        <w:sectPr>
          <w:pgSz w:w="11900" w:h="16838" w:orient="portrait"/>
          <w:cols w:equalWidth="0" w:num="2">
            <w:col w:w="7680" w:space="62"/>
            <w:col w:w="3338"/>
          </w:cols>
          <w:pgMar w:left="460" w:top="216" w:right="359" w:bottom="1440" w:gutter="0" w:footer="0" w:header="0"/>
          <w:type w:val="continuous"/>
        </w:sect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DURHAM</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27703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0"/>
          <w:szCs w:val="20"/>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06/02/2026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32,282</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2"/>
                <w:szCs w:val="22"/>
                <w:color w:val="auto"/>
              </w:rPr>
            </w:pPr>
          </w:p>
        </w:tc>
        <w:tc>
          <w:tcPr>
            <w:tcW w:w="12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77,279</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32,282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32,282</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25,146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06/03/2026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25,146</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25,146</w:t>
            </w: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-2163445</wp:posOffset>
            </wp:positionV>
            <wp:extent cx="28575" cy="2169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91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Class A common stock.</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on June 2, 2026.</w:t>
      </w:r>
    </w:p>
    <w:p>
      <w:pPr>
        <w:spacing w:after="0" w:line="40" w:lineRule="exact"/>
        <w:rPr>
          <w:rFonts w:ascii="Times New Roman" w:cs="Times New Roman" w:eastAsia="Times New Roman" w:hAnsi="Times New Roman"/>
          <w:sz w:val="13"/>
          <w:szCs w:val="13"/>
          <w:color w:val="008000"/>
        </w:rPr>
      </w:pPr>
    </w:p>
    <w:p>
      <w:pPr>
        <w:ind w:left="40" w:right="74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and become exercisable on the earlier of (i) the day immediately preceding the date of the Issuer's first Annual Meeting of Stockholders following the date of grant and (ii) the first anniversary of the date of grant, subject to the Reporting Person continuing in service on the Issuer's Board of Directors through the applicable vesting date.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Anthony D'Adamio,</w:t>
            </w:r>
          </w:p>
        </w:tc>
        <w:tc>
          <w:tcPr>
            <w:tcW w:w="66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06/04/2026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4156" TargetMode="External"/><Relationship Id="rId14" Type="http://schemas.openxmlformats.org/officeDocument/2006/relationships/hyperlink" Target="http://www.sec.gov/cgi-bin/browse-edgar?action=getcompany&amp;CIK=00016659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2026-06-04T15:53:41Z</dcterms:created>
  <dcterms:modified xsi:type="dcterms:W3CDTF">2026-06-04T15:53:41Z</dcterms:modified>
</cp:coreProperties>
</file>