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8"/>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center"/>
              <w:ind w:left="124"/>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80" w:type="dxa"/>
            <w:vAlign w:val="bottom"/>
            <w:gridSpan w:val="7"/>
          </w:tcPr>
          <w:p>
            <w:pPr>
              <w:jc w:val="center"/>
              <w:ind w:right="64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0" w:type="dxa"/>
            <w:vAlign w:val="bottom"/>
            <w:gridSpan w:val="3"/>
          </w:tcPr>
          <w:p>
            <w:pPr>
              <w:jc w:val="center"/>
              <w:ind w:left="124"/>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0" w:type="dxa"/>
            <w:vAlign w:val="bottom"/>
            <w:gridSpan w:val="3"/>
          </w:tcPr>
          <w:p>
            <w:pPr>
              <w:jc w:val="center"/>
              <w:ind w:left="104"/>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center"/>
              <w:ind w:left="104"/>
              <w:spacing w:after="0"/>
              <w:rPr>
                <w:sz w:val="20"/>
                <w:szCs w:val="20"/>
                <w:color w:val="auto"/>
              </w:rPr>
            </w:pPr>
            <w:r>
              <w:rPr>
                <w:rFonts w:ascii="Times New Roman" w:cs="Times New Roman" w:eastAsia="Times New Roman" w:hAnsi="Times New Roman"/>
                <w:sz w:val="29"/>
                <w:szCs w:val="29"/>
                <w:b w:val="1"/>
                <w:bCs w:val="1"/>
                <w:color w:val="auto"/>
                <w:w w:val="99"/>
              </w:rPr>
              <w:t>FORM 10-K</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0" w:type="dxa"/>
            <w:vAlign w:val="bottom"/>
            <w:gridSpan w:val="3"/>
          </w:tcPr>
          <w:p>
            <w:pPr>
              <w:jc w:val="center"/>
              <w:ind w:left="124"/>
              <w:spacing w:after="0"/>
              <w:rPr>
                <w:sz w:val="20"/>
                <w:szCs w:val="20"/>
                <w:color w:val="auto"/>
              </w:rPr>
            </w:pPr>
            <w:r>
              <w:rPr>
                <w:rFonts w:ascii="Times New Roman" w:cs="Times New Roman" w:eastAsia="Times New Roman" w:hAnsi="Times New Roman"/>
                <w:sz w:val="16"/>
                <w:szCs w:val="16"/>
                <w:color w:val="auto"/>
              </w:rPr>
              <w:t>________________</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(Mark One)</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160" w:type="dxa"/>
            <w:vAlign w:val="bottom"/>
          </w:tcPr>
          <w:p>
            <w:pPr>
              <w:spacing w:after="0"/>
              <w:rPr>
                <w:sz w:val="24"/>
                <w:szCs w:val="24"/>
                <w:color w:val="auto"/>
              </w:rPr>
            </w:pPr>
          </w:p>
        </w:tc>
        <w:tc>
          <w:tcPr>
            <w:tcW w:w="868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center"/>
              <w:ind w:left="124"/>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w w:val="99"/>
              </w:rPr>
              <w:t>OR</w:t>
            </w:r>
          </w:p>
        </w:tc>
        <w:tc>
          <w:tcPr>
            <w:tcW w:w="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80" w:type="dxa"/>
            <w:vAlign w:val="bottom"/>
            <w:vMerge w:val="continue"/>
          </w:tcPr>
          <w:p>
            <w:pPr>
              <w:spacing w:after="0"/>
              <w:rPr>
                <w:sz w:val="23"/>
                <w:szCs w:val="23"/>
                <w:color w:val="auto"/>
              </w:rPr>
            </w:pPr>
          </w:p>
        </w:tc>
        <w:tc>
          <w:tcPr>
            <w:tcW w:w="1160" w:type="dxa"/>
            <w:vAlign w:val="bottom"/>
          </w:tcPr>
          <w:p>
            <w:pPr>
              <w:spacing w:after="0"/>
              <w:rPr>
                <w:sz w:val="23"/>
                <w:szCs w:val="23"/>
                <w:color w:val="auto"/>
              </w:rPr>
            </w:pPr>
          </w:p>
        </w:tc>
        <w:tc>
          <w:tcPr>
            <w:tcW w:w="8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0" w:type="dxa"/>
            <w:vAlign w:val="bottom"/>
            <w:gridSpan w:val="6"/>
          </w:tcPr>
          <w:p>
            <w:pPr>
              <w:jc w:val="center"/>
              <w:ind w:right="1708"/>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0" w:type="dxa"/>
            <w:vAlign w:val="bottom"/>
            <w:gridSpan w:val="3"/>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rPr>
              <w:t>Commission File Number: 001-37844</w:t>
            </w:r>
          </w:p>
        </w:tc>
        <w:tc>
          <w:tcPr>
            <w:tcW w:w="3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center"/>
              <w:ind w:left="104"/>
              <w:spacing w:after="0"/>
              <w:rPr>
                <w:sz w:val="20"/>
                <w:szCs w:val="20"/>
                <w:color w:val="auto"/>
              </w:rPr>
            </w:pPr>
            <w:r>
              <w:rPr>
                <w:rFonts w:ascii="Times New Roman" w:cs="Times New Roman" w:eastAsia="Times New Roman" w:hAnsi="Times New Roman"/>
                <w:sz w:val="29"/>
                <w:szCs w:val="29"/>
                <w:b w:val="1"/>
                <w:bCs w:val="1"/>
                <w:color w:val="auto"/>
                <w:w w:val="98"/>
              </w:rPr>
              <w:t>BIOVENTUS INC.</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0" w:type="dxa"/>
            <w:vAlign w:val="bottom"/>
            <w:gridSpan w:val="5"/>
          </w:tcPr>
          <w:p>
            <w:pPr>
              <w:jc w:val="center"/>
              <w:ind w:right="270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53"/>
        </w:trPr>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8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0" w:type="dxa"/>
            <w:vAlign w:val="bottom"/>
            <w:gridSpan w:val="2"/>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81-0980861</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840" w:type="dxa"/>
            <w:vAlign w:val="bottom"/>
            <w:gridSpan w:val="6"/>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20" w:type="dxa"/>
            <w:vAlign w:val="bottom"/>
          </w:tcPr>
          <w:p>
            <w:pPr>
              <w:spacing w:after="0"/>
              <w:rPr>
                <w:sz w:val="19"/>
                <w:szCs w:val="19"/>
                <w:color w:val="auto"/>
              </w:rPr>
            </w:pPr>
          </w:p>
        </w:tc>
        <w:tc>
          <w:tcPr>
            <w:tcW w:w="26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73"/>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80" w:type="dxa"/>
            <w:vAlign w:val="bottom"/>
            <w:gridSpan w:val="5"/>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4721 Emperor Boulevard, Suite 100</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8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Durham, North Carolina</w:t>
            </w: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0" w:type="dxa"/>
            <w:vAlign w:val="bottom"/>
            <w:gridSpan w:val="2"/>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27703</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840" w:type="dxa"/>
            <w:vAlign w:val="bottom"/>
            <w:gridSpan w:val="6"/>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 w:type="dxa"/>
            <w:vAlign w:val="bottom"/>
          </w:tcPr>
          <w:p>
            <w:pPr>
              <w:spacing w:after="0"/>
              <w:rPr>
                <w:sz w:val="17"/>
                <w:szCs w:val="17"/>
                <w:color w:val="auto"/>
              </w:rPr>
            </w:pPr>
          </w:p>
        </w:tc>
        <w:tc>
          <w:tcPr>
            <w:tcW w:w="26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gridSpan w:val="2"/>
          </w:tcPr>
          <w:p>
            <w:pPr>
              <w:jc w:val="center"/>
              <w:ind w:left="1324"/>
              <w:spacing w:after="0"/>
              <w:rPr>
                <w:sz w:val="20"/>
                <w:szCs w:val="20"/>
                <w:color w:val="auto"/>
              </w:rPr>
            </w:pPr>
            <w:r>
              <w:rPr>
                <w:rFonts w:ascii="Times New Roman" w:cs="Times New Roman" w:eastAsia="Times New Roman" w:hAnsi="Times New Roman"/>
                <w:sz w:val="14"/>
                <w:szCs w:val="14"/>
                <w:b w:val="1"/>
                <w:bCs w:val="1"/>
                <w:color w:val="auto"/>
              </w:rPr>
              <w:t>(919) 474-6700</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gridSpan w:val="3"/>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center"/>
              <w:ind w:left="104"/>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4"/>
                <w:szCs w:val="24"/>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32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60" w:type="dxa"/>
            <w:vAlign w:val="bottom"/>
          </w:tcPr>
          <w:p>
            <w:pPr>
              <w:spacing w:after="0"/>
              <w:rPr>
                <w:sz w:val="18"/>
                <w:szCs w:val="18"/>
                <w:color w:val="auto"/>
              </w:rPr>
            </w:pPr>
          </w:p>
        </w:tc>
        <w:tc>
          <w:tcPr>
            <w:tcW w:w="234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rPr>
              <w:t>BVS</w:t>
            </w:r>
          </w:p>
        </w:tc>
        <w:tc>
          <w:tcPr>
            <w:tcW w:w="3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80"/>
        </w:trPr>
        <w:tc>
          <w:tcPr>
            <w:tcW w:w="732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000" w:type="dxa"/>
            <w:vAlign w:val="bottom"/>
            <w:gridSpan w:val="2"/>
          </w:tcPr>
          <w:p>
            <w:pPr>
              <w:jc w:val="center"/>
              <w:ind w:right="226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3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3000" w:type="dxa"/>
            <w:vAlign w:val="bottom"/>
            <w:gridSpan w:val="2"/>
          </w:tcPr>
          <w:p>
            <w:pPr>
              <w:jc w:val="center"/>
              <w:ind w:right="230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  Yes</w:t>
            </w:r>
          </w:p>
        </w:tc>
        <w:tc>
          <w:tcPr>
            <w:tcW w:w="400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140" w:type="dxa"/>
            <w:vAlign w:val="bottom"/>
          </w:tcPr>
          <w:p>
            <w:pPr>
              <w:spacing w:after="0"/>
              <w:rPr>
                <w:sz w:val="15"/>
                <w:szCs w:val="15"/>
                <w:color w:val="auto"/>
              </w:rPr>
            </w:pPr>
          </w:p>
        </w:tc>
      </w:tr>
      <w:tr>
        <w:trPr>
          <w:trHeight w:val="175"/>
        </w:trPr>
        <w:tc>
          <w:tcPr>
            <w:tcW w:w="10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tc>
        <w:tc>
          <w:tcPr>
            <w:tcW w:w="140" w:type="dxa"/>
            <w:vAlign w:val="bottom"/>
          </w:tcPr>
          <w:p>
            <w:pPr>
              <w:spacing w:after="0"/>
              <w:rPr>
                <w:sz w:val="15"/>
                <w:szCs w:val="15"/>
                <w:color w:val="auto"/>
              </w:rPr>
            </w:pPr>
          </w:p>
        </w:tc>
      </w:tr>
      <w:tr>
        <w:trPr>
          <w:trHeight w:val="188"/>
        </w:trPr>
        <w:tc>
          <w:tcPr>
            <w:tcW w:w="10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140" w:type="dxa"/>
            <w:vAlign w:val="bottom"/>
          </w:tcPr>
          <w:p>
            <w:pPr>
              <w:spacing w:after="0"/>
              <w:rPr>
                <w:sz w:val="16"/>
                <w:szCs w:val="16"/>
                <w:color w:val="auto"/>
              </w:rPr>
            </w:pPr>
          </w:p>
        </w:tc>
      </w:tr>
      <w:tr>
        <w:trPr>
          <w:trHeight w:val="35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60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Accelerated filer</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60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22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right="56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6" w:lineRule="exact"/>
        <w:rPr>
          <w:sz w:val="24"/>
          <w:szCs w:val="24"/>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As of June 28, 2025, the end of the most recently completed second fiscal quarter, the aggregate market value of Class A common stock held by non-affiliates (based upon the closing price of these shares on the Nasdaq) was approximately $264.4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27, 2026, there were 67,368,052 shares of Class A common stock outstanding and 15,786,737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information required to be furnished pursuant to Part III of this Annual Report on Form 10-K will be set forth in, and incorporated by reference from, the registrant’s definitive proxy statement for the 2026 Annual Meeting of Stockholders, which will be filed with the Securities and Exchange Commission no later than 120 days after the end of the fiscal year ended December 31, 2025.</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44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BIOVENTUS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4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4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 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1B. 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1C. Cybersecurity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2. Properties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3. 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4. 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378"/>
        </w:trPr>
        <w:tc>
          <w:tcPr>
            <w:tcW w:w="10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5. Market for Registrant’s Common Equity, Related Stockholder Matters and Issuer Purchases of Equity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6. [Reserved]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39"/>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7.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34"/>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7A. Quantitative and Qualitative Disclosures about Market Risk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8. Financial Statements and Supplementary Data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9. Changes in and Disagreements with Accountants on Accounting and Financial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9A. Controls and Procedures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9B.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9C. Disclosure Regarding Foreign Jurisdictions that Prevent Inspections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378"/>
        </w:trPr>
        <w:tc>
          <w:tcPr>
            <w:tcW w:w="10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10. Directors, Executive Officers and Corporate Governance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11. Executive Compensation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12. Security Ownership of Certain Beneficial Owners and Management and Related Stockholder Matters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133</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13. Certain Relationships and Related Transactions and Director Independence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14. Principal Accounting Fees and Services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0" w:type="dxa"/>
            <w:vAlign w:val="bottom"/>
          </w:tcPr>
          <w:p>
            <w:pPr>
              <w:spacing w:after="0"/>
              <w:rPr>
                <w:sz w:val="1"/>
                <w:szCs w:val="1"/>
                <w:color w:val="auto"/>
              </w:rPr>
            </w:pPr>
          </w:p>
        </w:tc>
      </w:tr>
      <w:tr>
        <w:trPr>
          <w:trHeight w:val="378"/>
        </w:trPr>
        <w:tc>
          <w:tcPr>
            <w:tcW w:w="10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15. Exhibits and Financial Statement Schedules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0" w:type="dxa"/>
            <w:vAlign w:val="bottom"/>
          </w:tcPr>
          <w:p>
            <w:pPr>
              <w:spacing w:after="0"/>
              <w:rPr>
                <w:sz w:val="1"/>
                <w:szCs w:val="1"/>
                <w:color w:val="auto"/>
              </w:rPr>
            </w:pPr>
          </w:p>
        </w:tc>
      </w:tr>
      <w:tr>
        <w:trPr>
          <w:trHeight w:val="243"/>
        </w:trPr>
        <w:tc>
          <w:tcPr>
            <w:tcW w:w="10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Item 16. Form 10-K Summary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w:t>
            </w:r>
          </w:p>
        </w:tc>
        <w:tc>
          <w:tcPr>
            <w:tcW w:w="0" w:type="dxa"/>
            <w:vAlign w:val="bottom"/>
          </w:tcPr>
          <w:p>
            <w:pPr>
              <w:spacing w:after="0"/>
              <w:rPr>
                <w:sz w:val="1"/>
                <w:szCs w:val="1"/>
                <w:color w:val="auto"/>
              </w:rPr>
            </w:pPr>
          </w:p>
        </w:tc>
      </w:tr>
      <w:tr>
        <w:trPr>
          <w:trHeight w:val="378"/>
        </w:trPr>
        <w:tc>
          <w:tcPr>
            <w:tcW w:w="10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2172970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(“Annual Report”) includes our trademarks and trade names that we own or license, and our logos. This Annual Report also includes trademarks, trade names and service marks that are the property of other organizations. Solely for convenience, trademarks and trade names referred to in this Annual Report appear without any “™”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21E of the Securities Exchange Act of 1934, as amended (“Exchange Act”), and Section 27A of the Securities Act of 1933, as amended (“Securities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including, without limitation, statements concerning: our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Forward-looking statements are based on management’s current expectations, estimates, forecasts and projections about our business and the industry in which we operate, and management’s beliefs and assumptions do not guarantee future performance or development and involve known and unknown risks, uncertainties and other factors that are in some cases beyond our control. As a result, any or all of our forward-looking statements in this Annual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Important factors that may cause actual results to differ materially from current expectations include, among other things, those described in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xml:space="preserve"> which are summarized in the list below. You are urged to consider these factors carefully in evaluating these forward-looking statements. These forward-looking statements speak only as of the date hereof. Except as required by law, we assume no obligation to update or revise these forward-looking statements for any reason,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several risks, including risks that may prevent us from achieving our business objectives or that may adversely affect our business, results of operations, financial condition, and cash flows. You should carefully consider the risks discussed in the section entitled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including the following principal risks:</w:t>
      </w:r>
    </w:p>
    <w:p>
      <w:pPr>
        <w:spacing w:after="0" w:line="14" w:lineRule="exact"/>
        <w:rPr>
          <w:sz w:val="20"/>
          <w:szCs w:val="20"/>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Credit Agreement contains financial and operating restrictions that could limit our access to credit. If we fail to comply with its financial or other covenants, we might be required to repay the indebtedness, which could harm our liquidity;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require additional capital to fund our current financial obligations and support business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financial controls could adversely affect our business and stock price;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at financial institutions, often in balances that exceed federally insured limits;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subject to securities class action litigation and currently have pending derivative shareholder lawsuits and may be subject to similar or other litigation in the future, which will require significant management time and attention, result in significant legal expenses and may result in unfavorable outcomes;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products for revenue generation and profitability, and their demand depends on continued and future acceptance by physicians, patients, third-party payers and others in the medical community;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growth may be limited by our inability to develop, acquire and commercialize new products, line extensions or expanded indications;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properly manage growth or scale our business processes, systems, or data management, our business could suffer;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third-party manufacturers to manufacture certain of our products;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implementation of processing and billing system changes by payers, we may experience unexpected increases in the volume of rebate claims we receive from payers with whom we contract;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and maintain adequate levels of coverage and/or reimbursement for our products, the procedures using our products, or any future products we may seek to commercialize, the commercial success of these products may be severely hindered;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consolidation in the healthcare industry leads to demand for price concessions or if one or more group purchasing organizations, third-party payers or other similar entities exclude us from being a supplier;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complete proposed acquisitions or to successfully integrate proposed or recent acquisitions in a cost-effective and non-disruptive manner, and we may not realize the anticipated strategic or financial benefits from our business divestitures;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from our competitors or hospitals may affect our ability to sell our products at prices necessary to support our current business strategies;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enter into purchasing contracts for our Surgical Solutions products or engage in contract bidding processes internationally, we may not be able to receive access to certain hospital facilities and our sales may decrease;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physician awareness of the distinctive characteristics, benefits, safety, clinical efficacy and cost-effectiveness of our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down-classification of non-invasive bone growth stimulators, including EXOGEN, by the FDA could increase future competition for bone growth stimulators and otherwise adversely affect our sales of EXOGEN;</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and may compete in the future against other companies, some of which have longer operating histories, more established products or greater resources than we do, which may prevent us from achieving increased market penetration or improved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our HA products from medical devices to drugs in the United States by the FDA could negatively impact our ability to market these products and may require that we conduct costly additional clinical studies to support current or future indications for use of those products;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depends on our ability to attract, retain and motivate our senior management team and other highly qualified personnel necessary to execute our strategic plans;</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product liability claims that could be expensive, divert management’s attention and harm our reputation and business. We may not be able to maintain adequate product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issues with respect to the supply of our products or their components due to product quality and regulatory compliance issues, including increased costs, disruptions of supply, shortages, contamination or mislabeling, fluctuations in the demand for our products, or issues with supplier facilities;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attempted, or perceived breaches of security, unauthorized access to or disclosure of information, cyberattacks, or other incidents could result in a material loss of business, substantial legal liability or significant harm to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subjects us to economic, political (including international tariffs), regulatory, currency, and other risks associated with international sales and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enforcement action if we engage in improper claims submission practices and resulting audits or denials of our claims by government agencies could reduce our net sales or profits and could lead to significant civil or criminal penalties and other liability;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process is expensive, time-consuming and uncertain, and the failure to obtain and maintain required regulatory clearances and approvals could prevent us from commercializing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studies of our future products do not produce results necessary to support regulatory clearance, approval or certification in the United States or elsewhere, we will be unable to expand the indications for or commercialize these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resulting in material changes in the final data;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enforcement action if we engage in improper marketing or promotion of our products, and the misuse or off-label use of our products may harm our image in the marketplace, result in injuries that lead to product liability suits or result in costly investigations, fines and/or sanctions by regulatory bodies;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cause or contribute to adverse medical events that we are required to report to the FDA, and if we fail to do so, we would be subject to sanctions or recalls that could materially harm our business;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conduct our clinical studies and to assist us with preclinical development and if they fail to perform as contractually required or expected, we may not be able to obtain regulatory clearance, approval or certification to commercialize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regulatory reform and cost containment proposals may affect our ability to sell our products profitably;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Medicare accreditation and surety bond requirements or DMEPOS supplier standards, it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involve the use of hazardous and toxic materials, and we must comply with environmental, health and safety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technologies that are licensed to us and any loss of the rights licensed to us could prevent us from selling our products;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BV LLC, and, accordingly, we depend on distributions from BV LLC to pay our taxes and expenses, including payments under the Tax Receivable Agreement. BV LLC’s ability to make such distributions may be subject to various limitations and restrictions;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our Class A common stockholders upon the exchange of the outstanding common membership interests in BV LLC could adversely affect the market price of our Class A common stock and the resale of such shares could cause the market price of our Class A common stock to fall; and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our Annual Report on Form 10-K for the year ending December 31, 2026, we will no longer be able to take advantage of reduced reporting requirements applicable to emerging growth companies, which will require us to incur significant expenses and expend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Business.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in this Annual Report on Form 10-K (“Annual Report”) the terms “we,” “us,” “our,” the “Company,” “Bioventus,” “Bioventus Inc.” and similar references refer to the combined operations of Bioventus Inc. and its consolidated subsidiaries and affiliates, including Bioventus LLC (“BV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medical device company focused on helping patients recover and live life to the fullest by relieving pain and addressing musculoskeletal challenges through a diverse portfolio of high-quality, innovative, and clinically-proven solutions. We manage our business through two reporting segments, U.S. and International, which accounted for 88% and 12%, respectively, of our total net sales during the fiscal year ended December 31,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portfolio of products is comprised of five patient-focused areas, grouped into three businesses based on clinical use: (i) Pain Treatments &amp; PRP (“Pain Treatments”), (ii) Surgical Solutions and (iii) Restorative Therapies.</w:t>
      </w:r>
    </w:p>
    <w:p>
      <w:pPr>
        <w:spacing w:after="0" w:line="5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Pain Treatments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Knee Osteoarthritis (“KOA”)</w:t>
      </w:r>
      <w:r>
        <w:rPr>
          <w:rFonts w:ascii="Times New Roman" w:cs="Times New Roman" w:eastAsia="Times New Roman" w:hAnsi="Times New Roman"/>
          <w:sz w:val="18"/>
          <w:szCs w:val="18"/>
          <w:color w:val="auto"/>
        </w:rPr>
        <w:t>: Our product portfolio includes a range of intra-articular, hyaluronic acid (“HA”) injections that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relieve patient discomfort and improve quality of life. In the U.S., we also distribute the XCELL Platelet-Rich Plasma (“PRP”) system, a technology that is synergistic with our existing physician call points, as many surgeons who use HA also use PRP.</w:t>
      </w:r>
    </w:p>
    <w:p>
      <w:pPr>
        <w:spacing w:after="0" w:line="8"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Peripheral Nerve Stimulation (“PNS”)</w:t>
      </w:r>
      <w:r>
        <w:rPr>
          <w:rFonts w:ascii="Times New Roman" w:cs="Times New Roman" w:eastAsia="Times New Roman" w:hAnsi="Times New Roman"/>
          <w:sz w:val="18"/>
          <w:szCs w:val="18"/>
          <w:color w:val="auto"/>
        </w:rPr>
        <w:t>: We are focused on developing and commercializing a full portfolio of peripheral nerve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stimulation products with solutions for acute, temporary and chronic pain.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Surgical Solutions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580" w:hanging="320"/>
        <w:spacing w:after="0" w:line="268"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Ultrasonics: </w:t>
      </w:r>
      <w:r>
        <w:rPr>
          <w:rFonts w:ascii="Times New Roman" w:cs="Times New Roman" w:eastAsia="Times New Roman" w:hAnsi="Times New Roman"/>
          <w:sz w:val="18"/>
          <w:szCs w:val="18"/>
          <w:color w:val="auto"/>
        </w:rPr>
        <w:t>Our Ultrasonics business offers precision bone resection for patients with degenerative spine conditions and spinal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deformities. This portfolio also enables precision bone cutting in ultrasonic neuro and general surgery to address brain tumors and pathologies of the liver and other organs.</w:t>
      </w:r>
    </w:p>
    <w:p>
      <w:pPr>
        <w:spacing w:after="0" w:line="8"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Bone Graft Substitutes (“BGS”)</w:t>
      </w:r>
      <w:r>
        <w:rPr>
          <w:rFonts w:ascii="Times New Roman" w:cs="Times New Roman" w:eastAsia="Times New Roman" w:hAnsi="Times New Roman"/>
          <w:sz w:val="18"/>
          <w:szCs w:val="18"/>
          <w:color w:val="auto"/>
        </w:rPr>
        <w:t>: Our BGS product portfolio includes a range of products that facilitate optimal bone fusion following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procedure.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Restorative Therapies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420" w:hanging="320"/>
        <w:spacing w:after="0" w:line="268"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Fracture Care: </w:t>
      </w:r>
      <w:r>
        <w:rPr>
          <w:rFonts w:ascii="Times New Roman" w:cs="Times New Roman" w:eastAsia="Times New Roman" w:hAnsi="Times New Roman"/>
          <w:sz w:val="18"/>
          <w:szCs w:val="18"/>
          <w:color w:val="auto"/>
        </w:rPr>
        <w:t>We provide low-intensity pulse ultrasound to help patients who suffer from bone fractures that do not heal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 methods. We plan to expand our U.S. clinical fracture care indications to address the healing of additional fresh fractures, especially for high-risk patients.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Financial information regarding our reportable business segments is included in </w:t>
      </w:r>
      <w:r>
        <w:rPr>
          <w:rFonts w:ascii="Times New Roman" w:cs="Times New Roman" w:eastAsia="Times New Roman" w:hAnsi="Times New Roman"/>
          <w:sz w:val="18"/>
          <w:szCs w:val="18"/>
          <w:i w:val="1"/>
          <w:iCs w:val="1"/>
          <w:color w:val="auto"/>
        </w:rPr>
        <w:t>Part II, Item 7.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Part II, Item 8. Financial Statements and Supplementary Data—Notes to the Consolidated Financial Statements— Note 14. Segments </w:t>
      </w:r>
      <w:r>
        <w:rPr>
          <w:rFonts w:ascii="Times New Roman" w:cs="Times New Roman" w:eastAsia="Times New Roman" w:hAnsi="Times New Roman"/>
          <w:sz w:val="18"/>
          <w:szCs w:val="18"/>
          <w:color w:val="auto"/>
        </w:rPr>
        <w:t>of this Annual Report. Our products are described in additional detail below under “Our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four-pronged strategy to reach our goals across our patient-focused areas includes the following:</w:t>
      </w:r>
    </w:p>
    <w:p>
      <w:pPr>
        <w:spacing w:after="0" w:line="59" w:lineRule="exact"/>
        <w:rPr>
          <w:sz w:val="20"/>
          <w:szCs w:val="20"/>
          <w:color w:val="auto"/>
        </w:rPr>
      </w:pPr>
    </w:p>
    <w:p>
      <w:pPr>
        <w:jc w:val="both"/>
        <w:ind w:left="660" w:hanging="328"/>
        <w:spacing w:after="0" w:line="26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leading positions in our core markets. </w:t>
      </w:r>
      <w:r>
        <w:rPr>
          <w:rFonts w:ascii="Times New Roman" w:cs="Times New Roman" w:eastAsia="Times New Roman" w:hAnsi="Times New Roman"/>
          <w:sz w:val="18"/>
          <w:szCs w:val="18"/>
          <w:color w:val="auto"/>
        </w:rPr>
        <w:t>We are focused on continued market share growth of our differentiated HA, BGS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Fracture Care products, which account for the majority of our sales today, through targeted high-potential account execution. This will provide investment for the continued expansion of our Ultrasonics and International businesses and enable growth in our emerging markets in PNS and PRP.</w:t>
      </w:r>
    </w:p>
    <w:p>
      <w:pPr>
        <w:spacing w:after="0" w:line="14"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investment in our new emerging technologies</w:t>
      </w:r>
      <w:r>
        <w:rPr>
          <w:rFonts w:ascii="Times New Roman" w:cs="Times New Roman" w:eastAsia="Times New Roman" w:hAnsi="Times New Roman"/>
          <w:sz w:val="18"/>
          <w:szCs w:val="18"/>
          <w:color w:val="auto"/>
        </w:rPr>
        <w:t>. We plan to initiate full commercial launches of StimTrial and Talismann,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PRP system will be sold through our existing HA sales force.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develop and expand our Ultrasonics platform business</w:t>
      </w:r>
      <w:r>
        <w:rPr>
          <w:rFonts w:ascii="Times New Roman" w:cs="Times New Roman" w:eastAsia="Times New Roman" w:hAnsi="Times New Roman"/>
          <w:sz w:val="18"/>
          <w:szCs w:val="18"/>
          <w:color w:val="auto"/>
        </w:rPr>
        <w:t>. We are focused on establishing BoneScalpel as a standard of care for spine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by accelerating market penetration in spinal surgery through increased surgeon education and awareness. In parallel, we plan to leverage the versatility of our neXus platform and its existing install base to expand into additional specialties like neurosurgery and general surgery.</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Strategically grow our international markets</w:t>
      </w:r>
      <w:r>
        <w:rPr>
          <w:rFonts w:ascii="Times New Roman" w:cs="Times New Roman" w:eastAsia="Times New Roman" w:hAnsi="Times New Roman"/>
          <w:sz w:val="18"/>
          <w:szCs w:val="18"/>
          <w:color w:val="auto"/>
        </w:rPr>
        <w:t>. We intend to focus our international business on current markets which present the greatest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opportunities, and where our portfolio can maintain and increase profitable growth over time, either through direct or distributor-based channels. We also plan to strategically expand to new markets with our existing portfolio and intend to selectively pursue new market opportunities.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diverse portfolio of products to support physicians in relieving pain and addressing musculoskeletal challenges across indications and clinical areas, including knee, hand and upper extremities, foot and ankle, podiatry, trauma, general surgery, spine and neurosurgery. Our portfolio of products helps patients across care settings, such as a physician’s office or clinic, ambulatory surgical centers (“ASCs”) or in the hospital setting, and is grouped based on clinical use: (i) Pain Treatments, (ii) Surgical Solutions and (iii) Restorative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108585</wp:posOffset>
            </wp:positionV>
            <wp:extent cx="48691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Pain Treatments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Pain Treatment portfolio includes HA products for KOA and PNS devices for pain relief. Our HA products are designed to work with the body’s biological processes, providing a natural lubricant into the joint and providing relief for mild to moderate pain, improving mobility, and helping the patient return to their normal activities. Our PNS product targets peripheral nerve pain at its source without the use of drugs and its small profile allows the system to be implanted in many locations on the body, depending on patient needs. We also are the exclusive distributor of the XCELL PRP System in the U.S., specifically for the orthopedic and sports medicine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4592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Durolane is an U.S. Food &amp; Drug Administration-approved, sterile, transparent and viscoelastic gel that is a single injection therapy that is indicated in the United States for the symptomatic treatment of osteoarthritis (“OA”) in the knee in patients who have failed to respond adequately to conservative non-pharmacological therapy and simple analgesics. Durolane is also indicated in certain markets outside the United States for the hip, ankle and shoulder, as well as for treatment of other small orthopedic joints. Durolane contains high levels of HA and is injected directly into the joints affected by OA to relieve pain and restore lubrication and cushioning. This may improve joint function and help to potentially delay knee replacement surgery.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Physicians administer Durolane to the affected knee joint in a single injection and it has been observed to provide a benefit for pain reduction in patients with OA in the knee for up to 26 weeks. Durolane’s injection schedule results in economic advantages and greater patient convenience and compliance compared to other HA viscosupplementation therapies which require weekly injections over a period of three to five weeks. Durolane is highly purified and based upon a natural and patented non-animal stabilized HA, expanding its use to patients who are allergic to animal-derived solutions. We currently market Durolane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4592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GELSYN-3 is an FDA-approved sterile, buffered solution of highly purified sodium hyaluronate that is administered as a three injection HA viscosupplementation therapy. It is indicated for the treatment of pain due to KOA in patients who have failed to respond adequately to conservative non-pharmacologic therapy and simple analgesics. The solution treats KOA by providing temporary replacement for the diseased synovial fluid and restoring the lubricity of bearing joint surfaces. Physicians administer GELSYN-3 to the affected knee joint once a week for three consecutive weeks. GELSYN-3 provides relief of knee pain and may help delay the need for total knee replacement surgery. GELSYN-3 is derived from bacterial fermentation, is highly purified and does not involve the use of animal products, thereby reducing the potential risk of an immune response following injection. We currently market GELSYN-3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64592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SUPARTZ is an FDA-approved sterile and viscoelastic solution of HA that is administered as a five-injection HA viscosupplementation therapy. It is indicated for the treatment of pain in patients with KOA who failed to adequately respond to conservative nonpharmacological therapy and simple analgesics. The solution treats KOA by providing temporary replacement for the diseased synovial fluid and restoring the lubricity of the bearing joint surfaces. Physicians administer SUPARTZ FX to the affected knee joint once a week for five consecutive weeks. SUPARTZ FX may also delay the need for total knee replacement. SUPARTZ FX is derived from HA extracted from certified and veterinary inspected chicken combs. We currently market SUPARTZ FX in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6459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StimRouter Peripheral Nerve Stimulation system is a permanent option that provides relief for chronic peripheral pain, including nerve pain, neuroma, neuropathic pain, post-stroke shoulder pain and neuralgia. StimRouter is implanted during a minimally invasive outpatient procedure performed under local anesthetic and delivers gentle electrical pulses directly to target peripheral nerve pain at its source. Its small profile allows the system to be implanted in many locations around the body, depending on patient needs. StimRouter is ideally suited for patients with chronic pain of a peripheral origin who are unable to find sustained pain relief with other treatment options such as nerve blocks, nerve ablation, and other temporary treatments. StimRouter is programmed with up to eight different stimulation programs from which the patient is able to select, turn off/on and increase or decrease the stimulation intensity. We currently market StimRouter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6459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TalisMann Pulse Generator and Receiver is an accessory to the StimRouter PNS system and is designed to provide more powerful stimulation to the targeted peripheral nerve, potentially enabling physicians to address chronic pain of a peripheral nerve origin in larger, deeper, or damaged nerves. TalisMann has a small profile and is attached to the StimRouter lead intraoperatively and pocketed under the skin after the StimRouter lead electrodes are placed near the targeted peripheral nerve.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510(k) clearances for both TalisMann and StimTrial were received in July 2025, expanding our innovative growth portfolio of PNS solutions for chronic pain management. These clearances mark an important step forward and represent a substantial growth opportunity as we look to expand in the PNS market. With TalisMann and StimTrial now FDA-cleared, we offer a comprehensive PNS portfolio that empowers physicians to potentially treat a broader spectrum of patients—from initial assessment to long-term therapy—with greater confidence and flexibility. This development also reinforces our commitment to delivering non-opioid, minimally invasive therapies designed to address real-world clinical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TalisMann combines our patented electric field conduction technology with an integrated pulse generator to potentially reach deeper, larger nerves. This combination is designed to provide long-term relief from chronic nerve pain for patients, potentially increasing the number of patients who respond to neuromodulation therapy. From a physician's perspective, the increase in power allows for easier lead placement and potentially broadens addressable nerves. StimTrial provides physicians the ability to evaluate patient response to PNS therapy, which we expect will facilitate physician adoption and payer reimbursement where trial assessments are required. We began a limited commercial release of both TalisMann and StimTrial in select U.S. markets during the third quarter of 2025. The broader market launch of these products commenced in early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56845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entered into an agreement with Apex Biologix to be the exclusive distributor of their XCELL PRP System in the United States, specifically for orthopedic and sports medicine markets. The XCELL PRP System is a benchtop device that processes whole blood to produce high-yield PRP with a 10-minute single-spin cycle. The system offers leukocyte-rich and leukocyte-poor PRP preparations in one platform. Designed to capture the entire buffy coat, the system is engineered to provide consistent processing results. The XCELL PRP System delivers customized treatments from an advanced benchtop processing station with a hand-controlled dial to allow physicians to tailor treatment based on each patient’s needs. The XCELL PRP System creates a highly synergistic opportunity for us to leverage our strong HA sales force as the majority of surgeons using HA are also treating patients with PRP.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514350</wp:posOffset>
            </wp:positionV>
            <wp:extent cx="4869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Surgical Solutions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Surgical Solutions portfolio is comprised of two patient-focused areas – Ultrasonics and Bone Graft Substitutes. Our Ultrasonics products are used for precise bone cutting and sculpting, soft tissue management (i.e., tumor and liver resections) and tissue debridement in various surgeries including minimally invasive applications, primarily in the areas of orthopedic surgery, neurosurgery, general surgery, wound, plastics/reconstruction, and cranio-maxillo-facial surgery. Our surgical product portfolio is also comprised of clinically efficacious bone graft solutions to meet a broad range of patient needs and procedures. Bone grafting is a surgical procedure used to promote fusion of spinal vertebrae, fill bone voids, fix bones that are damaged from trauma or problem joints, or to facilitate growing bones around an implanted device, such as spinal hardware (i.e., cages and rods), total knee replacements and long bone fixation. Our products are designed to improve bone fusion rates following spine and other orthopedic surgeries, including trauma and reconstructive foot and ankle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28587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neXus Ultrasonic Surgical System (“neXus”) is a leading ultrasonic surgical platform that combines all the features of our Surgical Solutions applications, including BoneScalpel, BoneScalpel Access, SonaStar Elite, SonicOne and SonaStar into a single fully integrated system, setting a foundation for future developments to fulfill unmet customer needs. The neXus platform is driven by a proprietary digital algorithm designed to deliver power, efficiency, and control for the surgeon. The device incorporates technology that allows for intuitive set-up and use. The neXus system allows for safe and efficient resection of hard and soft tissue, limiting collateral damage to adjacent tissue as compared to conventional surgical instruments, and can be used in a variety of different surgical specialties. In addition, neXus provides users a simple and intuitive system enabled via a digital touchscreen display and smart system set-up across all applications. This allows a hospital to access all of our Ultrasonic product offerings in this all-in-one console. We currently market the neXus Ultrasonic Surgical System in the United States and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50317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31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BoneScalpel is a state of the art, surgical solution enabling precise cuts in hard tissue (e.g., bone). The device allows for the preservation of surrounding soft tissue structures because of its mechanism-of-action, which is micro-reciprocating movements. This device enables precise linear or curved cuts, on any plane, with precision not normally associated with powered instrumentation. We believe that BoneScalpel offers the speed and convenience of a powered instrument without the dangers associated with conventional rotary devices. The effect on surrounding soft tissue is limited due to the elastic and flexible structure of healthy tissue. We believe this is a significant advantage in anatomical regions like the spine where patient safety is of primary concern. In addition, the linear motion of the blunt, tissue-impacting tips avoids accidental “trapping” of soft tissue while largely eliminating the high-speed spinning and tearing associated with rotary power instruments. We believe the BoneScalpel allows surgeons to improve on existing surgical techniques by creating new approaches to bone cutting, sculpting, and removal, leading to substantial time-savings and increased operation efficiencies.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BoneScalpel Access handpiece and its accessories provide surgeons with a new option for confined spaces during minimally invasive surgery, enabling safe and powerful bone removal with maximum visualization. BoneScalpel Access allows for en bloc resection and the shaving and sculpting of bone, with built-in irrigation and aspiration with improved ergonomics for the end user. We currently market BoneScalpel and BoneScalpel Access in the United States and certain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239141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91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SonaStar System provides powerful and precise ablation and removal of soft tissue. SonaStar has been used for a wide variety of surgical procedures applying both open and minimally invasive approaches, including neurosurgery and general surgery. In addition to soft tissue applications, SonaStar may be used with hard tissue tips to enable precise shaping or shaving of bony structures that prevent access to partially or completely hidden soft tissue masses.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SonaStar Elite handpiece and accessories expand the frequency capabilities of the neXus System, adding 36 kHz capabilities. While the neXus system can be used in many clinical applications including neurosurgery, the SonaStar Elite handpiece has been cleared for resection of tumors with varying consistencies ranging from soft to firm, including the removal of brain and spinal tumors. The SonaStar Elite handpiece represents the latest innovation in the neXus ultrasonic surgical pipeline. We currently market SonaStar System and SonaStar Elite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285875"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SonicOne Ultrasonic Cleansing and Debridement System is a highly innovative, tissue-specific approach for the removal of devitalized or necrotic tissue and fibrin deposits while sparing viable, surrounding cellular structures. The tissue-specific capability is, in part, due to healthy and viable tissue structures’ higher elasticity and flexibility than necrotic tissue and resistance to destruction from the impact effects of ultrasound. The ultrasonic debridement process separates devitalized tissue from viable tissue layers, allowing for a more defined treatment. We believe that SonicOne establishes a new standard in wound bed preparation, the essential first step in the healing process, while contributing to faster patient healing. We currently market SonicOne primarily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71450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OSTEOAMP is an allograft-derived bone graft with growth factors used for orthopedic, neurosurgical and reconstructive bone grafting procedures. OSTEOAMP is an allogeneic bone graft that is available in multiple formats (e.g., fibers, putty, sponge and granules) that is processed with bone marrow cells to maintain the wide array of growth factors present in native bone. OSTEOAMP Flowable is designed to be moldable and easy to use, with a convenient, ready to use syringe. In the second quarter of 2024, we received FDA approval for the cannula-based delivery system, which allows us to target minimally invasive spine and other key orthopedic surgeries with enhanced delivery of our Flowable product. Donor bone is sourced from AATB-certified and FDA-registered tissue banks in the United States. All tissues are screened for the standard panel of infectious viruses. We currently market OSTEOAMP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54305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SIGNAFUSE contains a synergistic combination of biomaterials that supports new bone formation which is indicated for standalone spine, extremities and pelvis, as well as a bone graft extender in the posterolateral spine. SIGNAFUSE is a synthetic bone graft made up of bioglass and a biphasic mineral (60% hydroxyapatite, 40% β-tricalcium phosphate) available in putty and strip formats. Bioactive synthetic bone graft substitute is comprised of a mixture of calcium phosphate granules and bioglass granules suspended in a resorbable polymer carrier that facilitates handling and delivery of the granule components to fill spaces of missing bone. The unique and synergistic combination of biomaterials in SIGNAFUSE is designed to help accelerate cellular activity and kick-start osteogenesis. In 2023, Bioventus received FDA clearance for expanded indications. We expect our expanded indication for the use of SIGNAFUSE in spinal procedures, specifically for filling cages, to continue driving growth of the product. We currently market SIGNAFUSE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61988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98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PUREBONE provides a natural osteoconductive scaffold that facilitates cellular ingrowth and revascularization, which is indicated for orthopedic, neurosurgical and reconstructive bone grafting procedures. PUREBONE is 100% human bone, and is available as demineralized cortical fibers, demineralized cancellous strips and blocks, and mineralized cancellous chips. Demineralized cortical fibers are easy to mold, shape and pack, and provide osteoinductive potential. The fibers demonstrate high fluid retention and expansion properties, which potentially increases the opportunity for bone-on-bone contact. Demineralized block and strip formats provide interconnected porosity with compressible, sponge-like handling characteristics, and provide osteoinductive potential. Demineralized PUREBONE formats provide osteoinductive potential to recruit and differentiate bone-forming cells. Donor bone is sourced from AATB-certified and FDA-registered tissue banks in the United States. All tissues are screened for the standard panel of infectious viruses. We currently market PUREBONE in the United States.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285875" cy="42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Reficio Demineralized Bone Matrix (“Reficio DBM”) is a putty comprised of human demineralized bone matrix and a biocompatible, bioabsorbable carrier, carboxymethylcellulose, mixed into a putty-like consistency for ease of use during surgery. Reficio DBM is indicated for use as a bone void filler and bone graft substitute for voids or gaps that are not intrinsic to the stability of the bony structure, specifically for the treatment of surgically created osseous defects or osseous defects from traumatic injury to the bone. Reficio DBM can be used in the extremities, posterolateral spine and pelvis. We currently market Reficio DBM in the United States.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Developmental and Clinical Pipeline for Surgical Solutions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build the body of clinical evidence supporting our products, we continue to look for and execute on opportunities to innovate in our Surgical Solutions portfolio. To meet growing market demand and specifically the needs of surgeons, we continue to partner or develop product extensions on our surgical technology platforms, including the neXus, OSTEOAMP and SIGNAFUSE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106045</wp:posOffset>
            </wp:positionV>
            <wp:extent cx="4869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Restorative Therapies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Restorative Therapies business focuses on addressing patients whose healing is at-risk due to metabolic disorders and comorbidities, such as diabetes, smoking and osteoporosis. Our portfolio is positioned to expand our impact for patients by leveraging EXOGEN to serve as an adjunctive and preventative therapy for healthcare professionals to incorporate into their practice during early-stage fracture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285875"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EXOGEN is an ultrasound bone stimulation system for the non-invasive treatment of established nonunion fractures and certain fresh fractures. A nonunion fracture is considered to be established when the fracture site shows no visibly progressive signs of healing. EXOGEN has been sold commercially for over 30 years and is FDA-approved for the accelerated healing of fresh, closed posteriorly displaced distal fractures of the radius and fresh, closed or Grade I open long bone fractures. EXOGEN utilizes low-intensity pulsed ultrasound technology to stimulate the body’s natural bone stimulation process. EXOGEN is used to administer treatment in a location of convenience with an easy-to-use interface that tracks treatment use and promotes compliance. EXOGEN is indicated in the United States for the non-invasive treatment of established nonunion fractures excluding skull and vertebra fractures, and for accelerating the time to a healed fracture for fresh, closed, posteriorly displaced distal radius fractures and fresh, closed or Grade I open long bone fractures in skeletally mature individuals when these fractures are orthopedically managed by closed reduction and cast immobilization. EXOGEN is marketed in the United States, Canada, Europe and Japan, and approved for marketing in Australia, New Zealand, Saudi Arabia, Turkey, and the 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117475</wp:posOffset>
            </wp:positionV>
            <wp:extent cx="4869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Products from our Pain Treatments, Restorative Therapies and Surgical Solutions groups are sold by direct sales teams in the United States and a complementary indirect sales team for Surgical Solutions. That team is supported by a broad management team in addition to a market access team focused on expanding approvals with integrated healthcare delivery networks (“IDNs”), group purchasing organizations (“GPOs”) and payers. Internationally, we sell our products through a mix of direct and indirect sales teams and distributors. We support our entire sales organization with extensive training to help them excel, and we have a performance culture built on serving our core orthopedic patient customers and delivering our products to a variety of physicians and care settings.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highly competitive, subject to change and significantly affected by the activities of industry participants. We believe that the principal competitive factors in our markets are product features, value-added solutions, reliability, clinical and economic evidence, reimbursement coverage, and price. Customer support, reputation, and efficient distribution are also important factors. The speed with which we can develop products, complete clinical testing and regulatory clearance processes and supply commercial quantities of our products to the market are therefore important competitive factors. We compete with many companies that have significant capital resources, greater R&amp;D resources and more extensive distribution systems than we do.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Pain Treatments that we own or distribute compete with products from Ferring Pharmaceutical Inc., Fidia Farmaceutici S.p.A., Johnson &amp; Johnson, Zimmer Biomet Holdings, Inc., Arthrex, Inc., Emcyte Corporation and Channel-Markers Medical, and for peripheral nerve stimulation specifically, we compete with SPR Therapeutics, Nalu and Curonix.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Surgical Solutions products compete with products from Medtronic, DePuy Orthopaedics, Inc. (Johnson &amp; Johnson), Stryker Corporation, NuVasive, Inc., Orthofix Medical Inc., Zimmer Biomet Holdings, Inc., Globus Medical Inc., Johnson &amp; Johnson, Integra Life Sciences, Inc., and Söering.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Restorative Therapies compete with products marketed by Orthofix Medical Inc., Zimmer Biomet Holdings, Inc., Enovis and XFT Medical.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third-parties. Our policy is to seek to protect our proprietary position by, among other methods, pursuing and obtaining patent protection in the United States and in jurisdictions outside of the United States related to our proprietary technology, inventions and improvements that are important to the development and implementation of our business. We also rely on trademarks, trade secrets and careful monitoring of and contractual obligations with respect to our proprietary information to protect aspects of our business that are not amenable to, or that we do not consider appropriate for, patent protection.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 Secrets, Assignments and Licenses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patents, trade secrets, assignment and license agreements, and non-disclosure agreements to protect our proprietary intellectual property. We own numerous patents and/or patent applications which relate to our material products. Although in the aggregate our intellectual property is material to our business, we do not believe that any single patent is material to our product portfolio. As of December 31, 2025, we owned 99 issued U.S. patents and six pending U.S. patent applications relating to our material products. We also owned 141 issued foreign patents and 35 pending foreign patent applications directed to our material products. Our patents and patent applications as of December 31, 2025 directed to our material products are summarized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two issued U.S. patents and one issued foreign patent in Australia directed to our EXOGEN system. The U.S. patents are expected to expire between 2028 and 2029, and the foreign patent is expected to expire in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two issued U.S. patents, and 18 issued foreign patents directed to our OSTEOAMP product, including foreign patents in Europe, Asia, Canada and Australia. The issued U.S. patents are expected to expire in 2029. The issued foreign patents are expected to expire in 2029.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own 11 issued U.S. patents and 17 issued foreign patents in Australia, Canada, Europe, and Japan directed to our StimRouter system.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are expected to expire between 2026 and 2031, and the foreign patents are expected to expire between 2028 and 2030.</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own 48 issued U.S. patents, 3 pending U.S. patent applications, 64 issued foreign patents, and 24 pending foreign patent applications directed to our BoneScalpel system, including foreign patents and patent applications in Asia, Canada, and Europe. The U.S. patents are expected to expire between 2026 and 2044, and the foreign patents are expected to expire between 2027 and 2039. The pending patent applications, if issued, are expected to expire between 2036 and 2043, without accounting for potential patent term extensions and adjustments.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own 19 issued U.S. patents, 26 issued foreign patents, and two pending foreign patent applications directed to our SonicOne System, including foreign patents and patent applications in Asia, Canada, and Europe. The U.S. patents are expected to expire between 2026 and 2039, and the foreign patents are expected to expire between 2026 and 2038. The pending patent applications, if issued, are expected to expire between 2037 and 2038, without accounting for potential patent term extensions and adjustments.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six issued U.S. patents, five issued foreign patents, and one pending U.S. patent application directed to our Sonastar System. The U.S. patents are expected to expire between 2030 and 2045, and the foreign patents are expected to expire between 2031 and 2037.</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own three issued U.S. patents and one pending U.S. patent application, four issued foreign patents, and five pending foreign patent applications directed to our TalisMann product, including foreign patent applications in Australia, Canada, Europe, and Asia. The U.S. patents are expected to expire between 2039 and 2040. The pending patent applications, if issued, are expected to expire between 2039 and 2040, without accounting for potential patent term extensions and adjustments.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patents and pending patent applications directed to our material products are further detailed in Exhibit 99.1 to this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registered trademarks for Bioventus, BoneScalpel, BoneScalpel Access, Durolane, EXOGEN, GELSYN-3, Misonix, neXus, OSTEOAMP, Osteofuse, PureBone, SIGNAFUSE, Sonastar, SonaStar Elite, SonicOne, TalisMann and StimRouter in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rely on trade secret law to protect some of our technology. Trade secrets, however, can be difficult to protect. We seek to protect our proprietary technology and manufacturing process, in part, by confidentiality and invention assignment agreements with employees, consultants, scientific advisors and contractors, under which they are bound to assign to us certain inventions that are made during the course of performing work for us and relate to our business. These agreements further restrict the use and disclosure of our confidential information and proprietary information belonging to any third party. These agreements further prohibit our employees from using, disclosing, or bringing onto the premises any proprietary information belonging to any third party.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patents, trademarks, and trade secrets, we also rely on assignment and license agreements, pursuant to which we may license rights under patents held by third parties, and non-disclosure agreements, to protect our proprietary intellectual property. We obtain assignments or licenses of varying durations for certain of our products from third parties. We typically acquire rights under such assignments or licenses in exchange for lump-sum payments or arrangements under which we pay a percentage of sales to the licensor. However, while such rights are irrevocable, no assurance can be given that these arrangements will continue to be made available to us on financial terms that are acceptable to us, or at all. The terms of our license agreements vary in length from a specified number of years to the life of product patents or the economic life of the product. These agreements generally provide for royalty payments and termination rights in the event of a material breach.</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seek patent, trademark, and copyright protection as we deem advisable to protect the markets for our products and to support our research and development efforts.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mostly manufacture and assemble our medical device products at our production facility located in Cordova, Tennessee. We believe our manufacturing operations comply with regulations mandated by the FDA. We are an FDA-registered medical device manufacturer. Our manufacturing facilities and processes are subject to periodic inspections and audits by various federal, state and foreign regulatory agencies. Our products include components manufactured by other companies in the United States and elsewhere.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products and product components are manufactured exclusively by single-source third-party manufacturers, pursuant to multi-year supply agreements that may include minimum order volumes. We work closely with each of our manufacturing partners and provide them with forecasts, which enables them to have a better capacity plan and sequence their production efficiently.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encounter difficulty in obtaining materials, supplies and components adequate for our anticipated short-term needs. We intend to maintain sufficient supplies of the products and components from these single-source suppliers in the event that one or more of these suppliers were to encounter certain interruptions in supply of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extensive regulation by the FDA and other federal and state authorities in the United States, as well as comparable authorities in foreign jurisdictions. In the United States, our products and product candidates are regulated as either medical devices under the Federal Food, Drug, and Cosmetic Act (“FDCA”), and its implementing regulations, or as drugs or biological products under the FDCA and the Public Health Service Act (“PHSA”), and their implementing regulations, each as amended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and biological products to ensure that such products distributed domestically are safe and effective for their intended uses and otherwise meet the applicable requirements of the FDCA and PHSA.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 of Medical Devices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 majority of our products are regulated as medical devices by the FDA. 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 - Class I, Class II or Class III - depending on the degree of risk associated with each medical device and the extent of manufacturer and regulatory control needed to ensure its safety and effectiveness. Devices deemed by the FDA to pose the greatest risks, such as life sustaining, life supporting or some implantable devices, or devices that have a new intended use, or use advanced technology that is not substantially equivalent to that of a legally marketed device, are typically placed into Class III.</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Class III devices require approval of a PMA, evidencing safety and effectiveness of the device.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510(k) clearance, a manufacturer must submit a premarket notification demonstrating to the FDA’s satisfaction that the proposed device is “substantially equivalent” to another legally marketed device that itself does not require PMA approval (a predicate device). A predicate device is a legally marketed device that is not subject to PMA, i.e., a device that was legally marketed prior to May 28, 1976 (pre-amendment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In such cases,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which is a route to market for novel medical devices that are low to moderate risk and are not substantially equivalent to a predicate device.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The FDA requires each manufacturer to determine whether the proposed change requires submission of a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is granted.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PMA process is more demanding than the 510(k) premarket notification process. In a PMA, the manufacturer must demonstrate that the device is safe and effective, and the PMA must be supported by extensive data, including data from preclinical studies and human clinical trials.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In addition, the study must be approved by, and conducted under the oversight of, an Institutional Review Board (“IRB”), for each clinical site. The IRB is responsible for the initial and continuing review of the IDE, and may impose additional requirements for the conduct of the study.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clinical and preclinical data, the PMA must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Quality System Regulation (“QSR”).</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constitutes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w:t>
      </w:r>
    </w:p>
    <w:p>
      <w:pPr>
        <w:spacing w:after="0" w:line="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After a device is cleared or approved or otherwise authorized for marketing, numerous pervasive regulatory requirements continue to apply unless explicitly exempt. These include:</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the risk to health posed by the device or to remedy a violation of the FDCA that may present a risk to health;</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the FDA deems them necessary to protect the public health or to provide additional safety and effectiveness data for the device.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HCT/Ps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products are regulated as “HCT/P”, which is an acronym for human cell, tissue, and cellular and tissue-based products. Section 361 of the PHSA authorizes the FDA to issue regulations to prevent the introduction, transmission or spread of communicable disease. HCT/Ps regulated as “Section 361” HCT/Ps are subject to requirements relating to registering facilities and listing products with the FDA, screening and testing for tissue donor eligibility, current Good Tissue Practices (“cGTPs”) when processing, storing, labeling and distributing HCT/Ps, including required labeling information, stringent record keeping and adverse event reporting, among other applicable requirements and laws. Section 361 HCT/Ps do not require 510(k) clearance, PMA approval, Biological License Applications (“BLAs”), or other premarket authorization from the FDA before marketing. However, to be regulated as a Section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and which for cells or nonstructural tissue products, means that the manufacturing processes do not alter the relevant biological characteristics of cells or tissues. A Section 361 HCT/P must also be intended for “homologous use,” which refers to use in the repair, reconstruction, replacement, or supplementation of a recipient’s cells or tissues with an HCT/P that performs the same basic function or functions in the recipient as in the donor. HCT/Ps that do not meet the criteria of Section 361 are regulated under Section 351 of the PHSA. Unlike Section 361 HCT/Ps, HCT/Ps regulated as “Section 351” HCT/Ps are subject to premarket review and/or approval by the FDA, as required.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2017, the FDA released a guidance document entitled “Regulatory Considerations for Human Cells, Tissues, and Cellular and Tissue - Based Products: Minimal Manipulation and Homologous Use - Guidance for Industry and Food and Drug Administration Staff.” The guidance outlined the FDA’s position that all lyophilized amniotic products are more than minimally manipulated and would therefore require a BLA to be lawfully marketed in the United States. The guidance also indicated that the FDA would exercise enforcement discretion, using a risk-based approach, with respect to the Investigational New Drug ("IND") application and pre-market approval requirements for certain HCT/Ps that had been marketed without marketing authorization, including, among others, lyophilized amniotic products, for a period of 36 months from the issuance date of the guidance to allow manufacturers to pursue INDs and/or seek marketing authorizations. Under this approach, the FDA indicated that high-risk products and uses could be subject to immediate enforcement action. In July 2020, the FDA extended its period of enforcement discretion to May 31, 2021. The FDA resumed enforcement of IND and premarket approval requirements with respect to these products as of June 1,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 of Drugs and Biological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drugs under the FDCA and its implementing regulations, and biologics under the FDCA and the PHSA and their implementing regulations. The process required by the FDA before a drug or biologic may be marketed in the United States generally involves the following:</w:t>
      </w:r>
    </w:p>
    <w:p>
      <w:pPr>
        <w:spacing w:after="0" w:line="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ethics committee at each clinical site before the trial is commenced;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efficacy, purity and potency of the proposed product candidate for its intended purpose;</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for biologics or New Drug Application (“NDA”) for small molecule drugs after completion of all pivotal clinical trials;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or NDA to file the application for review;</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Good Clinical Practices (“GCPs”);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 to permit commercial marketing of the product for particular indications for use in the United States.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beginning clinical trials of a new drug or biologic product in the United States, an IND must be submitted to the FDA. An IND is a request for authorization from the FDA to administer an investigational new drug product to humans. An IND must become effective before human clinical trials begin. 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BLA or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 BLA or NDA requires payment of a substantial application user fee to the FDA, unless a waiver or exemption applies.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FDA evaluates a BLA or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or NDA,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or NDA in condition for approval, including requests for additional information or clarification. The FDA may delay or refuse approval of a BLA or NDA if applicable regulatory criteria are not satisfied, require additional testing or information and/or require post-marketing testing and surveillance to monitor safety or efficacy of a product.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regulatory approval of a product for human therapeutic or prophylactic use is granted, such approval will be granted for particular indications and may include limitations on the indicated uses for which such product may be marketed.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post-market studies or post-market surveillance to further assess and monitor the product’s safety and effectiveness after commercialization, and may limit further marketing of the product based on the results of these post-marketing studies.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drugs or biologics manufactured or distributed pursuant to FDA approvals are subject to pervasive and continuing regulation by the FDA, including, among other things, requirements relating to record-keeping, reporting of adverse events,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and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Enforcement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withdraw marketing authorizations for drugs, biologics (including Section 361 HCT/Ps) and/or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FDA regulates the marketing, labeling, advertising and promotion of drugs, biologics (including Section 361 HCT/Ps) and medical devices. A company can make only those claims relating to safety and efficacy, purity and potency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 of Medical Devices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foreign government regulations, which vary substantially by country. In order to market our products in other countries, we must obtain regulatory approvals or certifications and comply with extensive safety and quality regulations in other countries. The time required to obtain approval or certification by a foreign country may be longer or shorter than that required for FDA approval and the requirements may differ significantly.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Regulation of Medical Devices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May 25, 2021, medical devices were regulated by Council Directive 93/42/EEC (the “EU Medical Devices Directive”), which has been repealed and replaced by Regulation (EU) No 2017/745 (the “EU Medical Devices Regulation”). The majority of our current certificates have been granted under the EU Medical Devices Directive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all of our devices not currently certified under the new requirements set forth in the EU Medical Devices Regulation receive such certification when the current certificates expire.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Devices Directive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EU Medical Devices Directive, all medical devices placed on the market in the EU must meet the relevant essential requirements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because it creates a rebuttable presumption that the device satisfies that essential requirement.</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demonstrate compliance with the essential requirements in Annex I to the EU Medical Devices Directive, medical device manufacturers must undergo a conformity assessment procedure, which varies according to the type of medical device and its (risk) classification. Generally,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renews the relevant certificate(s).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Device Regulation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medical devices in the EU continues to evolve.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 Medical Devices Regulation became effective on May 26, 2021. Among other things, the new regulation does the following:</w:t>
      </w:r>
    </w:p>
    <w:p>
      <w:pPr>
        <w:spacing w:after="0" w:line="63" w:lineRule="exact"/>
        <w:rPr>
          <w:sz w:val="20"/>
          <w:szCs w:val="20"/>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explicit provisions on manufacturers’ responsibilities for the follow-up of the quality, performance and safety of devices placed on the market;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explicit provisions on importers’ and distributors’ obligations and responsibilities;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up a central database (“Eudamed”) to provide patients, healthcare professionals and the public with comprehensive information on products available in the EU;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rules for the assessment of certain high-risk devices, such as implants, which may undergo a clinical evaluation consultation procedure by experts before they are placed on the market.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Devices lawfully placed on the market pursuant to the EU Medical Devices Directive prior to May 26, 2021 may generally continue to be made available on the market or put into service until their EU Medical Devices Directive certificate expires,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 (EU) 2023/607 of the European Parliament and of the Council of 15 March 2023 amending Regulations (EU) 2017/745 and (EU) 2017/746 regards the transitional provisions for certain medical devices and in vitro diagnostic medical devices. The Regulation introduces a staggered extension of the transition period provided for in Regulation (EU) 2017/745 on medical devices (MDR), subject to certain conditions. The transition period of medical devices to MDR has been extended until December 31, 2027 or December 31, 2028 depending on the classification of the medical device. The transition provisions covers products with CE certificates issued under the Medical Devices Directive (MDD) set to expire before the date of application. The amended Article 120(2), the extension of validity for these devices will, however, apply only if one of the following conditions is met:</w:t>
      </w:r>
    </w:p>
    <w:p>
      <w:pPr>
        <w:spacing w:after="0" w:line="23" w:lineRule="exact"/>
        <w:rPr>
          <w:sz w:val="20"/>
          <w:szCs w:val="20"/>
          <w:color w:val="auto"/>
        </w:rPr>
      </w:pPr>
    </w:p>
    <w:p>
      <w:pPr>
        <w:ind w:left="66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manufacturer has signed a written agreement with a Notified Body for the conformity assessment of the device in question </w:t>
      </w:r>
      <w:r>
        <w:rPr>
          <w:rFonts w:ascii="Times New Roman" w:cs="Times New Roman" w:eastAsia="Times New Roman" w:hAnsi="Times New Roman"/>
          <w:sz w:val="18"/>
          <w:szCs w:val="18"/>
          <w:i w:val="1"/>
          <w:iCs w:val="1"/>
          <w:color w:val="auto"/>
        </w:rPr>
        <w:t>at the moment</w:t>
      </w:r>
      <w:r>
        <w:rPr>
          <w:rFonts w:ascii="Times New Roman" w:cs="Times New Roman" w:eastAsia="Times New Roman" w:hAnsi="Times New Roman"/>
          <w:sz w:val="18"/>
          <w:szCs w:val="18"/>
          <w:color w:val="auto"/>
        </w:rPr>
        <w:t xml:space="preserve"> of expiry,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competent authority has granted a derogation from the applicable conformity assessment procedure in accordance with Article 59 of the MDR; or</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competent authority has required the manufacturer to carry out the conformity assessment procedure within a specific time period in accordance with Article 97 of the MDR.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Eudamed, unless they have already registered. The information to be submitted by manufacturers (and authorized representatives) also includes the name, address and contact details of the person or persons responsible for regulatory compliance. The new EU Medical Devices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updated.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the risk of a serious incident associated with the use of a medical device that is made available on the market. An FSCA may include the recall, modification, exchange, destruction or retrofitting of the device.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medical devices is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 Legislation has been approved to extend the transition dates for the EU MDR to 2027/2028. Despite the extension, the notified bodies that are responsible for implementing the EU MDR guidelines must still adopt these changes into their current framework of procedures, which could take additional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Countries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other countries have specific requirements for classification, registration and post-marketing surveillance that are independent of the countries already listed. We obtain what we believe are the appropriate clearances for our products and conduct our business in accordance with the applicable laws of each country. This landscape is constantly changing, and we could be found in violation if we interpret the laws incorrectly or fail to keep pace with changes. In the event of either of these occurrences, we could be instructed to recall products, cease distribution and/or be subject to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Statute, False Claims Act and Other Healthcare 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number of U.S. laws regulating healthcare fraud, waste, and abuse (“FWA”) including without limitation the federal Anti-Kickback Statute (“AKS”) and the federal Physician Self-Referral Law (known as the Stark Law), the Civil False Claims Act, the civil prohibition on beneficiary inducements, and the Health Insurance Portability and Accountability Act of 1996, as amended (“HIPAA”), as well as numerous state laws and regulations regarding healthcare and insurance services. These laws are enforced by, without limitation, CMS, other divisions of the U.S. Department of Health and Human Services (“HHS”), including the HHS Office of Inspector General (“OIG”), the U.S. Department of Justice and individual U.S. Attorney offices within the Department of Justice, as well as state and local governments. Among other things, these laws, and others aimed at curbing FWA, generally: (1) prohibit providing anything of value in exchange for the referral of patients or for the purchase, order, or recommendation of any item or service reimbursed by a federal healthcare program, (including Medicare and Medicaid); (2) require that claims for payment submitted to federal healthcare programs be truthful; and (3) require the maintenance of certain government licenses and permits.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states have similar FWA statutes or regulations that may be broader in scope and may apply regardless of payer, in addition to items and services reimbursed under Medicaid and other state programs.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Several courts have interpreted the AKS’s intent requirement to mean that if any one purpose of an arrangement involving remuneration is to induce referrals of federal healthcare covered business, the AKS has been violated. The AKS includes statutory exceptions and regulatory safe harbors that protect certain arrangements that would otherwise be prohibited by the statute. Failure to meet the requirements of an applicable AKS exception or safe harbor, however, does not render an arrangement illegal. Rather, the government must evaluate such arrangements on a case-by-case basis, taking into account all facts and circumstances, including the parties’ intent and the arrangement’s potential for abuse, and those arrangements may be subject to greater scrutiny by enforcement agencies. Criminal penalties and administrative sanctions for violating the AKS include civil penalties of $127,973 per violation plus three times the amount of the improper remuneration, criminal penalties up to $100,000 per violation, prison terms, and exclusion from participation in the federal health care programs. Under the Civil Monetary Penalties statute, physicians who pay or accept kickbacks also face substantial civil penalties and treble damages.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physician who has a financial relationship, or who has an immediate family member who has a financial relationship, with entities providing designated health services (“DHS”) is prohibited by the Stark Law from referring Medicare and Medicaid patients to such entities for the furnishing of DHS, unless an exception applies. The Stark Law also prohibits the entity from billing for any prohibited referral. Unlike the AKS, the Stark Law is a strict liability statute, meaning that the law has been violated if the financial arrangement does not meet an applicable exception regardless of any intent by the parties to induce or reward referrals or the reasons for the financial relationship and the referral. If the Stark Law applies and the elements of an applicable exception have not been met, then the government is prohibited from paying for such services and any amount paid pursuant to a non-compliant financial relationship must be reimbursed to the government. In addition to reimbursing the government any associated overpayment, violations of the Stark Law can lead to civil penalties of $15,000 per claim or $100,000 per willful violation, depending on the nature of the violation.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FCA prohibits a person from knowingly presenting, or causing to be presented, a false or fraudulent request for payment from the federal government, or from making a false statement or using a false record to have a claim approved. A claim includes “any request or demand” for money or property presented to the United States government. Moreover, the government may assert that a claim including items and services resulting from a violation of the AKS or the Stark Law constitutes a false or fraudulent claim for purposes of the civil False Claims Act. In addition, knowingly concealing or decreasing an obligation to pay the government (or reimburse, in the case of an overpayment) can create liability under the reverse false claims provision of the statute. Overpayments must be repaid to the government within 60 days of the time the provider or supplier determines (or reasonably should have determined through the exercise of reasonable diligence) that it received an overpayment. Penalties for a violation of the FCA include fines for each false claim, plus up to three times the amount of damages caused by each false claim. Private individuals, known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relators, are also able to bring actions under these false claims laws in the name of the government alleging false and fraudulent claims presented to or paid by the government (or other violations of the statutes). Such relators, often current or former employees or competitors, share in any amounts paid to the government in fines or settlement. FCA liability can include three times the amount of damages sustained by the government due to the fraudulent activity, possible civil monetary penalties up to $23,331 (adjusted annually for inflation) per claim, exclusion from participating in federal healthcare programs, and possible criminal charges, resulting in additional fines and imprisonment.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 (also known as “beneficiary inducements”). Moreover, in certain cases, providers who routinely waive co-payments and deductibles for Medicare and Medicaid beneficiaries can also be held liable under the AKS and civil FCA. One of the statutory exceptions to the beneficiary inducements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states in which we operate have also adopted similar fraud and abuse laws to those described above. The scope of these laws and their interpretations vary from state to state and are enforced by state courts and regulatory authorities, each with broad discretion. Some state fraud and abuse laws apply to items or services reimbursed by any payer, including patients, employers and commercial insurers, not just those reimbursed by a federally or state funded healthcare program.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(if a corporate integrity agreement or other agreement is required to resolve allegations of noncompliance with these laws), the curtailment or restructuring of operations, exclusion from participation in government healthcare programs, and/or individual imprisonment.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participate in state government-managed Medicaid programs as well as certain other qualifying federal and state government programs where discounts and mandatory rebates are provided to participating state and local government entities. In connection with several of these government programs, we are required to report prices to various government agencies. Pricing calculations vary among programs. The calculations are complex and are often subject to interpretation by the reporting entities, government agencies and the courts. Government agencies may also make changes in program interpretations, requirements or conditions of participation, some of which may have implications for amounts previously estimated or paid. By way of example, the Medicare Prescription Drug, Improvement and Modernization Act of 2003 (“MMA”), requires that manufacturers report data to CMS on pricing of covered drugs reimbursed under Medicare Part B. These are generally drugs and biologicals, such as injectable products, which are administered “incident to” a physician service and in general are not self-administered. Effective January 1, 2005, average selling price (“ASP”), became the basis for reimbursement to physicians and suppliers for drugs and biologicals covered under Medicare Part B, replacing the average wholesale price (“AWP”), provided and published by pricing services. In general, we must comply with all reporting requirements for any drug that is separately reimbursable under Medicare. Our SUPARTZ FX, GELSYN-3 and Durolane products are reimbursed under Medicare Part B and, as a result, we provide ASP data on these products to CMS on a quarterly basis.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Foreign Corrupt Practices Act of 1977, as amended (“FCPA”). The FCPA prohibits U.S. companies and their representatives from promising, offering, or making payments of money or anything of value to foreign officials with the intent to obtain or retain business or seek a business advantage. In certain countries, the health care professionals with whom we or our distributors regularly interact may meet the definition of a foreign government official for the purposes of the FCPA. Our international activities create the risk of unauthorized payments or offers of payments by our employees, consultants and agents, including distributors, even though they may not always be subject to our control. Our existing safeguards may prove to be less than effective, and our employees, consultants, and agents may engage in conduct for which we might be held responsible. The FCPA also requires us to maintain accurate books and records and have a system of internal controls sufficient to, among other things, provide reasonable assurances that transactions are executed and assets are accessed and accounted for in accordance with management’s authorization. A determination that our operations or activities are not, or were not, in compliance with U.S. or foreign laws or regulations could result in the imposition of substantial fines, interruptions of business, loss of suppliers, vendor or other third-party relationships, termination of necessary licenses or permits, and legal or equitable sanctions. Other internal or governmental investigations or legal or regulatory proceedings, including lawsuits brought by private litigants, may also follow as a consequence. We are also subject to other jurisdictions including the United Kingdom and Brazilian equivalents, the United Kingdom Bribery Act and the Brazil Clean Company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ISO Standards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operate and maintain a Quality Management System that is designed to comply with the requirements of International Standards ISO 13485: 2016 Medical Devices – Quality Management Systems. This system encompasses the principles of enhancing customer satisfaction through the effective application of processes for control, monitoring, and continual improvement, which is designed to ensure that we consistently meet or exceed customer expectations and applicable statutory/regulatory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number of federal, state and foreign laws and regulations that govern the collection, use, disclosure, and protection of health-related and other personal information, including health information privacy and data security laws, data breach notification laws, and consumer protection laws and regulations (e.g., Section 5 of the Federal Trade Commission Act). For example, HIPAA imposes obligations on “covered entities,” including certain healthcare providers, such as us,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Entities that are found to be in violation of HIPAA, which may occur in connection with, among other things, a breach of unsecured protected health information (“PHI”), a complaint about privacy practices, or an audit by HHS, may be subject to significant civil, criminal, and administrative fines, penalties, and damages and/or additional reporting and oversight obligations if required to enter into a resolution agreement and corrective action plan with HHS to settle allegations of HIPAA non-compliance.</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state and foreign laws, including without limitation the California Consumer Privacy Act (“CCPA”), the California Privacy Rights Act (“CPRA”), General Data Protection Regulation (“GDPR”) and the United Kingdom General Data Protection Regulation (“UK GDPR”), govern the privacy and data security of personal information, including health-related information in certain circumstances, some of which are more stringent than HIPAA and many of which differ from each other in significant ways and may not have the same effect, thus complicating compliance efforts.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the imposition of significant civil and/or criminal penalties and private litigation. Privacy and data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may be reimbursed by third-party payers, such as government programs, including Medicare and Medicaid, or private insurance plans and healthcare networks. As a result, demand for our products is and will continue to be dependent in part on the coverage and reimbursement policies of these payers. The manner in which reimbursement is sought and obtained varies based upon the type of payer involved and the setting in which the product is furnished and utilized. Reimbursement from Medicare, Medicaid and other third-party payers may be subject to periodic adjustments as a result of legislative, regulatory and policy changes, as well as budgetary pressures. Possible reductions in, or eliminations of, coverage or reimbursement by third-party payers,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 The Medicare program is expected to continue to implement a new payment mechanism for certain durable medical equipment, prosthetics, orthotics, and supplies (“DMEPOS”) items via the implementation of its competitive bidding program. Bone growth therapy devices are currently exempt from this competitive bidding process.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of the United States, the pricing of medical devices and prescription pharmaceuticals is subject to governmental control in many countries. Some countries provide that products may be marketed only after a reimbursement price has been agreed. Some countries may require the completion of additional studies that compare the cost-effectiveness of a particular therapy to currently available therapies or so called health technology assessments, in order to obtain reimbursement or pricing approval. Other countries may allow companies to fix their own prices for products, but monitor and control prescription volumes and issue guidance to physicians to limit prescriptions.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Appropriations Act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in connection with the Consolidated Appropriations Act, 2021 (“CAA”), the Centers for Medicare and Medicaid Services (“CMS”) began utilizing new pricing information the Company reported to it pursuant to the newly adopted reporting obligations to adjust the Medicare payment to healthcare providers using our Durolane and GELSYN-3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and Human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930 employees, none of whom were covered by collective bargaining agreements. Most of these employees are located in the United States with approximately 94 located outside the United States. We believe that our relations with our employees are generally positive.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value our employees and regularly benchmark total rewards we provide, such as short and long term compensation, 401(k) contributions, health, welfare and quality of life benefits, paid time off and personal leave, against our industry peers to ensure we remain competitive and attractive to potential new hires. We seek to create a workplace environment that fosters personal and business successes by offering training and development programs, which further assist our current employees in meeting and exceeding our established standards of performance, and a leadership development program specially designed to help our new leaders be successful in their expanded roles.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to build on our culture of treating all individuals fairly and respectfully, we have established a Diversity, Equity and Inclusion (“DE&amp;I”) Council and formed several Employee Resource Groups (“ERGs”). The DE&amp;I Council and ERGs are voluntary, employee-led groups of employees who come together in their workplace based on shared characteristics or life experiences. The stated mission of the DE&amp;I Council is to foster a culture and identity that drives diversity, equity and inclusion as we engage and develop current employees and recruit future talent, all working together to build a transformative work environment. Our ERGs are generally intended to provide support, enhance career development, and contribute to personal development in the work environment. The goals of these and other similar initiatives is to encourage broad and diverse viewpoints to achieve the best outcomes for the patients, healthcare providers, and employees we serve.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Bioventus Inc. is a Delaware corporation formed on December 22, 2015 and functions as a holding company with no direct operations whose principal asset is the equity interest in BV LLC. We are headquartered in Durham, North Carolina. On February 16, 2021, we closed an initial public offering (“IPO”). Our IPO was conducted through what is commonly referred to as an umbrella partnership C corporation (“UP-C”) structure. In connection with the IPO and the UP-C structure, we completed a series of organizational transactions including, without limitation, the following:</w:t>
      </w:r>
    </w:p>
    <w:p>
      <w:pPr>
        <w:spacing w:after="0" w:line="18"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BV LLC was amended and restated (“Bioventus LLC Agreement”) to, among other things, (i) provide for a new single class of common membership interests in BV LLC (“LLC Interests”), (ii) exchange all of the then-existing membership interests of the holders of BV LLC membership interests (“Original LLC Owners”) for LLC Interests, and (iii) appoint Bioventus Inc. as the sole managing member of BV LLC;</w:t>
      </w:r>
    </w:p>
    <w:p>
      <w:pPr>
        <w:spacing w:after="0" w:line="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merger, of certain members of BV LLC (“Former LLC Owners”), for which we issued shares of Class A common stock as merger consideration (“Merger”);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our certificate of incorporation to authorize Class A common stock, Class B common stock and undesignated preferred stock. Class B common stock has voting rights but no economic rights.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majority economic interest, the sole voting interest in, and control the management of, BV LLC. As a result, we will consolidate the financial results of BV LLC and reports a noncontrolling interest representing the LLC Interests held by Smith &amp; Nephew, Inc. (“Continuing LLC Owner”). Refer to </w:t>
      </w:r>
      <w:r>
        <w:rPr>
          <w:rFonts w:ascii="Times New Roman" w:cs="Times New Roman" w:eastAsia="Times New Roman" w:hAnsi="Times New Roman"/>
          <w:sz w:val="18"/>
          <w:szCs w:val="18"/>
          <w:i w:val="1"/>
          <w:iCs w:val="1"/>
          <w:color w:val="auto"/>
        </w:rPr>
        <w:t xml:space="preserve">Part II, Item 8. Financial Statements and Supplementary Data—Notes to the Consolidated Financial Statements—Note 8. Stockholders’ Equity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for additional information about the organizational transactions completed as part of the IPO.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March 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5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E. Claypoole</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D’Adamio</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Katrina Church</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Compliance Officer</w:t>
            </w:r>
          </w:p>
        </w:tc>
      </w:tr>
    </w:tbl>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Robert Claypoole </w:t>
      </w:r>
      <w:r>
        <w:rPr>
          <w:rFonts w:ascii="Times New Roman" w:cs="Times New Roman" w:eastAsia="Times New Roman" w:hAnsi="Times New Roman"/>
          <w:sz w:val="18"/>
          <w:szCs w:val="18"/>
          <w:color w:val="auto"/>
        </w:rPr>
        <w:t>joined Bioventus in January 2024 as President and Chief Executive Officer and as a member of the Board of Directors from Mölnlycke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Care (“Mölnlycke”), a world-leading medical products and solutions company, where he served as Executive Vice President of Wound Care since July 2021. In this role, Mr. Claypoole had full responsibility for a $1.2 billion business. Before that, Mr. Claypoole served in several leadership positions with Mölnlycke from March 2017 to July 2021, including Executive Vice President and President, US for Mölnlycke and as an Officer of Mölnlycke Health Care US, LLC and Mölnlycke Manufacturing US, LLC. Prior to joining Mölnlycke in 2017, Mr. Claypoole served in various leadership roles at Medtronic Ltd. (now Medtronic plc (NYSE: MDT)), a global healthcare technology company, and Covidien, before it was acquired by Medtronic. Mr. Claypoole was Global Vice President &amp; General Manager, Obesity &amp; Metabolic Health (April 2016 to March 2017) and Global Vice President &amp; General Manager of the Soft Tissue Repair &amp; Hemostats business (December 2012 to April 2016). Before that, he was the Vice President, Executive Operations after serving as Vice President, Global Marketing while located in Trevoux, France. Prior to his time in France, Mr. Claypoole was the Vice President, US Marketing for the company’s Endomechanical &amp; Intelligent Device business. Before joining Covidien in 2007, Mr. Claypoole held various marketing roles with increasing responsibility at Johnson &amp; Johnson’s Vision Care division. Mr. Claypoole previously served on the board of directors of ZetrOz Inc. (January 2014 to January 2016) and the Association of periOperative Registered Nurses (December 2017 to December 2020). Mr. Claypoole received his Bachelor of Arts and his Masters of Business Administration from Cornell University.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 Singleton </w:t>
      </w:r>
      <w:r>
        <w:rPr>
          <w:rFonts w:ascii="Times New Roman" w:cs="Times New Roman" w:eastAsia="Times New Roman" w:hAnsi="Times New Roman"/>
          <w:sz w:val="18"/>
          <w:szCs w:val="18"/>
          <w:color w:val="auto"/>
        </w:rPr>
        <w:t>has served as our Senior Vice President and Chief Financial Officer since March 2022. Mr. Singleton previously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Finance, Americas Strategic Business Units at Teleflex Inc. (“Teleflex”), a provider of specialty medical devices, from February 2021 to March 2022 and prior to that, served as Teleflex’s Vice President of Finance, Vascular Strategic Business Unit from 2014 to 2020. Prior to Teleflex, Mr. Singleton held multiple leadership roles at Lenovo Group Limited, a multinational technology company, including as Executive Director, Think Business Group Chief Financial Officer (2013-2014), Executive Director, Western Europe Chief Financial Officer (2011-2012), Executive Director, North America Chief Financial Officer (2007-2011) and Director, U.S. Finance Manager (2005-2007). Mr. Singleton received his Bachelor of Science from Purdue University and his Master of Business Administration from Duke University, Fuqua School of Business.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Anthony D’Adamio </w:t>
      </w:r>
      <w:r>
        <w:rPr>
          <w:rFonts w:ascii="Times New Roman" w:cs="Times New Roman" w:eastAsia="Times New Roman" w:hAnsi="Times New Roman"/>
          <w:sz w:val="18"/>
          <w:szCs w:val="18"/>
          <w:color w:val="auto"/>
        </w:rPr>
        <w:t>has served as our Senior Vice President and General Counsel since August 2017. Previously, Mr. D’Adamio was General Counsel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at Siemens Healthcare (now known as Siemens Healthineers AG) from January 2010 to August 2017 and served as Deputy General Counsel and Secretary of Siemens Healthcare Diagnostics from January 2007 to January 2010. Prior to that, Mr. D’Adamio was Senior Counsel within the Diagnostics Division of Bayer Healthcare LLC (now known as Siemens Healthineers Diagnostics) from January 2001 to December 2006. Mr. D’Adamio began his legal career at the law firm of Bond, Schoeneck &amp; King before taking corporate legal positions with companies within the health insurance, pharmaceutical and biotechnology industries, including Group Health Incorporated, Quest Diagnostics and Covance Inc. Mr. D’Adamio holds a Juris Doctor from Howard University School of Law and a Bachelor of Arts from the State University of New York at Binghamton.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Katrina Church </w:t>
      </w:r>
      <w:r>
        <w:rPr>
          <w:rFonts w:ascii="Times New Roman" w:cs="Times New Roman" w:eastAsia="Times New Roman" w:hAnsi="Times New Roman"/>
          <w:sz w:val="18"/>
          <w:szCs w:val="18"/>
          <w:color w:val="auto"/>
        </w:rPr>
        <w:t>has served as our Chief Compliance Officer since August 2020. Prior to joining us, Ms. Church served in corporate counsel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roles within the Merz Group of companies, most recently as Global Compliance Officer for Merz Pharma GmbH &amp; Co KGaA, a privately-held pharmaceutical company, from March 2015 to August 2020. From June 1998 to December 2008, Ms. Church was Executive Vice President and General Counsel of Connetics Corporation, a specialty pharmaceutical company that was acquired by Stiefel Laboratories, Inc. in 2008. Ms. Church began her career as an attorney at Hopkins &amp; Carley, a San Jose-based law firm. In 2020, Ms. Church was nominated for several industry awards for compliance training and received the 2020 Women in Compliance Award for “Most Impactful Compliance Training Programme of the Year” and the Brandon Hall 2020 Gold Medal for Excellence in Training. Ms. Church holds a Juris Doctor from New York University School of Law and a Bachelor of Arts in Comparative Literature from Duke University.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filings with the Securities and Exchange Commission (“SEC”), including our Annual Report on Form 10-K, Quarterly Reports on Form 10-Q, Current Reports on Form 8-K, proxy statements for stockholder meetings, any registration statements, and amendments to those reports, are available free of charge on our website as soon as reasonably practicable after they are filed with, or furnished to, the SEC. Information on our website or connected to our website is not incorporated by reference into this Annual Report. Our website is located at </w:t>
      </w:r>
      <w:r>
        <w:rPr>
          <w:rFonts w:ascii="Times New Roman" w:cs="Times New Roman" w:eastAsia="Times New Roman" w:hAnsi="Times New Roman"/>
          <w:sz w:val="18"/>
          <w:szCs w:val="18"/>
          <w:u w:val="single" w:color="auto"/>
          <w:color w:val="auto"/>
        </w:rPr>
        <w:t>www.bioventus.com</w:t>
      </w:r>
      <w:r>
        <w:rPr>
          <w:rFonts w:ascii="Times New Roman" w:cs="Times New Roman" w:eastAsia="Times New Roman" w:hAnsi="Times New Roman"/>
          <w:sz w:val="18"/>
          <w:szCs w:val="18"/>
          <w:color w:val="auto"/>
        </w:rPr>
        <w:t xml:space="preserve">. Our SEC filings are also available on the SEC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Described below are certain risks that we believe apply to our business and the industry in which we operate. You should carefully consider each of the following risk factors in conjunction with other information provided in this Annual Report and in our other public disclosures. The risks described below highlight potential events, trends or other circumstances that could adversely affect our business, financial condition, results of operations, cash flows, liquidity or access to sources of financing, and consequently, the market value of our Class A common stock. These risks could cause our future results to differ materially from historical results and from guidance we may provide regarding our expectations of future financial performance. The risks described below are those that we have identified as material and are not an exhaustive list of all the risks we face. There may be others that we have not identified or that we have deemed to be immaterial. All forward-looking statements made by us or on our behalf are qualified by the risks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2025 Credit Agreement contains financial and operating restrictions that could limit our access to credit. If we fail to comply with its financial or other covenants, we might be required to repay the indebtedness, which could harm our liquidity.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certain covenants under the 2025 Credit Agreement, including, but not limited to:</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interest coverage ratio and a maximum consolidated total net leverage ratio requirement as defined in the 2025 Credit Agreement;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declaration or payment of certain distributions on or in respect to our equity interests;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acquisitions, investments and certain other payments;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incurrence of new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incurrence of new liens on property or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transfers, sales and other dispositions;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entering into transactions with affiliates; 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making any material change in any of our business objectives that could reasonably be expected to have a material adverse effect on our ability to repay amounts borrowed under the term loan or revolver under the 2025 Credit Agreement.</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absence of a waiver from our lenders, any failure by us to comply with these covenants might result in the declaration of an event of default, which could adversely affect our business, results of operations and financial position.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indebtedness could have significant consequences on our financial position, including:</w:t>
      </w:r>
    </w:p>
    <w:p>
      <w:pPr>
        <w:spacing w:after="0" w:line="63"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funding growth, working capital, capital expenditures, investments or other cash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flexibility to adjust to changing business conditions or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the term loan under the 2025 Credit Agreement, are at variable rates, making it more difficult for us to make payments on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or general corporate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fund our financial and operating obligations and support business growth.</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expected cash from operations together with available borrowings under our 2025 Credit Agreement are insufficient to fund our current financial and operating obligations, we might require additional capital. In addition, we intend to continue to make investments to support our business growth and might require additional funds to respond to business challenges or opportunities, including the need to further develop our current products and any new products, enhance our operating infrastructure, and acquire complementary businesses. Accordingly, we might need to engage in equity or additional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additional debt financing secured by us could involve restrictive covenants relating to our capital-raising activities and other financial and operational matters, which might make it more difficult for us to obtain additional capital and to pursue business opportunities, including potential acquisitions. In addition, we might not be able to obtain additional financing on terms favorable to us, or at all. If we are unable to obtain adequate financing or financing on terms satisfactory to us when required, our ability to continue to support our business growth and to respond to business challenges could be significantly limited.</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for further discussion concerning our indebtedness.</w:t>
      </w:r>
    </w:p>
    <w:p>
      <w:pPr>
        <w:spacing w:after="0" w:line="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financial controls could cause us to have material weaknesses and financial misstatements due to error, which could adversely affect our business and stock price.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404 and 906 of the Sarbanes-Oxley Act of 2002, which require management to certify financial and other information in our quarterly and annual reports, provide quarterly and annual management reports on the effectiveness of disclosure controls and procedures, and provide annual management reports on the effectiveness of internal controls over financial reporting. Though we are required to disclose changes made in our internal controls and procedures on a quarterly basis and assess internal controls over financial reporting on an annual basis, our independent registered public accounting firm will not be required to formally attest to the effectiveness of our internal controls over financial reporting pursuant to Section 404 until we are no longer an emerging growth company pursuant to the provisions of the JOBS Act. We expect that we will cease to be an emerging growth company, and thus be subject to all Section 404 reporting requirements, no later than December 31, 2026, which is the last day of the fiscal year following the fifth anniversary of the date of our initial public offering. After that time, our independent registered public accounting firm may issue an attestation report that is adverse in the event it is not satisfied with the level at which our controls are documented, designed or operating.</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undertaken various actions to comply with the requirements of being a public company and are undertaking further steps to satisfy the additional requirements related to the loss of emerging growth company status. However, we cannot provide assurance that the measures we have taken to date, and actions we may take in the future, will be sufficient to prevent or avoid financial misstatements due to error or material weaknesses. If we identify any material weaknesses in the future that we cannot fully remediate, the accuracy and timing of our financial reporting may be adversely affected. Testing and maintaining financial controls can also divert our management’s attention from other matters that are important to the operation of our business. Ineffective disclosure controls and procedures or internal control over financial reporting could cause investors to lose confidence in our reported financial and other information, which would likely have a negative effect on the trading price of our Class A common stock.</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when evaluating our financial controls, we may identify material weaknesses in our internal controls that we may not be able to remediate prior to the applicable deadline imposed upon us for compliance with the requirements of Section 404. If we identify any material weaknesses in our internal controls over financial reporting or are unable to comply with the requirements of Section 404 in a timely manner, or if our independent registered public accounting firm is unable to issue an opinion as to the effectiveness of our internal controls over financial reporting once we are no longer an emerging growth company, investors may lose confidence in the accuracy and completeness of our financial reports and the market price of our Class A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and cash equivalents at financial institutions, in accounts where the balance exceeds federally insured limits (“FDIC”).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a banking institution in the United States that we believe is of high quality. Cash held in these accounts exceed the FDIC insurance limits. If such banking institution were to fail, we could lose all or a portion of the amounts held in excess of such insurance limitations. In the event of failure of the financial institution where we maintain our cash and cash equivalents, there can be no assurance that we would be able to access uninsured funds in a timely manner or at all. Any inability to access or any delay in accessing these funds could adversely affect our business and financial position.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derivative shareholder lawsuits and have been defendants in securities class action litigation and may be subject to similar or other future litigation, which will require significant management time and attention, result in significant legal expenses and may result in unfavorable outcomes, any or all of which may have a material adverse effect on our business, operating results and financial condition, and negatively affect the price of our common stock.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and claims that arise in or outside the ordinary course of business. In particular, we are a party to derivative shareholder litigation described under the heading “Legal Proceedings” below.</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such lawsuits and any future legal proceedings might not be able to be predicted with certainty. Also, our assets may be insufficient to cover any claimed amounts that exceed our insurance coverage, and we may have to pay damage awards or otherwise may enter into settlement arrangements in connection with such claims. Regardless of the merits of these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products for revenue generation and profitability.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HA products accounted for 49%, 46% and 43% of our total revenue for the years ended December 31, 2025, 2024 and 2023, respectively. We expect that sales of such products will continue to account for a substantial portion of our revenue, and therefore, our ability to execute our growth strategy and maintain profitability will depend upon the continued demand for these products in each of our current product areas. If the supply and distribution agreements for any of our HA products were terminated, or if our efforts to commercialize these products prove unsuccessful, our revenue would be impaired. If our HA products fail to maintain their market acceptance for any reason, our business, results of operations and financial condition may be adversely affected. Recent actions by the Centers for Medicare and Medicaid Services to change longstanding average sales price (“ASP”) calculation methodologies by, among other things, adding new requirements for supporting the fair market value of bona fide service fees or reclassifying other device-like biologicals such as skin substitutes as supplies may signal a broader policy shift that could eventually target our HA portfolio, potentially reducing ASP, which could materially impact our HA business and financial condition. Refer to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Various governmental reimbursement reform and other healthcare cost containment proposals may affect our ability to sell our products profitably and could adversely affect our business results and operations and financial conditions.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growth may be limited by our inability to develop, acquire and commercialize new products, line extensions or expanded indications.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is highly competitive and subject to rapid change and technological advancements. Therefore, it is important to our business that we continue to introduce new products and/or enhance our existing product offerings through line extensions or expanded indications. Developing, acquiring and commercializing products is expensive, time-consuming and could divert management’s attention away from our existing business. Even if we are successful in developing additional products, the success of any new product offering or enhancements to existing products will depend on several factors, including our ability to:</w:t>
      </w:r>
    </w:p>
    <w:p>
      <w:pPr>
        <w:spacing w:after="0" w:line="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the needs of healthcare professionals and patients;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line extensions and expanded indications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 our products from those of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 and maintain necessary intellectual property licenses from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clearance, approval, or certification, if required, from the FDA and other regulatory agencies or notified bodies, for such new products, line extensions and expanded indications, and maintain full compliance with FDA and other regulatory requirements applicable to new devices or products or modifications of existing devices or products;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newly developed or acquired products or therapies;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effective and dedicated sales and marketing team.</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unsuccessful in developing, acquiring and commercializing new products or enhancing our existing product offerings through line extensions and expanded indications across our current product portfolio, our long-term growth may be negatively affected.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research and development efforts may require a substantial investment of time and resources before we are adequately able to determine the commercial viability of a new product, technology, material or other innovation. Such efforts may not result in the development of a viable product. In addition, even if we are able to successfully develop new active healing products, line extensions and expanded indications, these products may not produce sales in excess of the costs of development and they may be rendered obsolete by changing customer preferences or the introduction by our competitors of products embodying new technologies or features.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properly manage growth or scale our business processes, systems, and data management, our business could suffer.</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 the future, we may experience periods of rapid growth and expansion, which could place a significant additional strain on our limited personnel, information technology systems and other resources. In particular, our supply chain, inventory management, product services, sales processes and distributor network require significant management, training, financial and other supporting resources. System limitations may result in increased cost, delayed execution, and errors. For example, we rely on the effective operation of our information technology systems, including our enterprise resource planning (“ERP”) systems, to support key business processes, maintain financial records, safeguard data, and enable efficient operations. In addition, system implementations and upgrades involve inherent risks, including system integration challenges, data migration errors, and increased dependence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implementation partners and technology vendors. If we are unable to adequately maintain our systems and scale them appropriately, we could experience disruptions or delays to our operations, supply chain, order management, manufacturing, or financial reporting processes.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failure by us to manage our growth effectively could adversely affect our ability to achieve our development and commercialization goals.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achieve our long-term revenue goals, we also will need to successfully increase supply of our products to meet expected customer demand. In the future, we may experience difficulties with yields, quality control, component supply and shortages of qualified personnel, among other problems. These problems could result in delays in product availability and increases in expenses which could adversely affect our ability to generate revenue.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manage our operations during any growth period,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existing products and any new products, line extensions or expanded indications depends on the continued and future acceptance of our products by physicians, patients, third-party payers and others in the medical community.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be certain that our existing products and any new products, such as our newly launched PNS and PRP products, or any line extensions or expanded indications that we develop will achieve or maintain market acceptance. Third-party payers may be reluctant to continue to cover our products at their current prices. Further, new injectable therapies or oral medications may become available that help manage OA pain in a more convenient and/or cost effective manner than our HA viscosupplementation therapies. With respect to our Surgical Solutions, new allograft, DBMs, synthetics, growth factors, or other enhancements to our existing implants may never achieve broad market acceptance, which can be affected by a lack of clinical acceptance of Surgical Solutions products and technologies, introduction of competitive treatment options which render Surgical Solutions products and technologies too expensive or obsolete and difficulty training surgeons in the use of Surgical Solutions products and technologies. Media reports or other negative publicity concerning both methods of tissue recovery from donors and actual or potential disease transmission from donated tissue may limit widespread acceptance by the medical community of our allografts, growth factor and DBMs, whether directed at these products generally or our products specifically. Unfavorable reports of improper or illegal tissue recovery practices by any participant in the industry, both in the United States and internationally, as well as incidents of improperly processed tissue leading to transmission of disease, may broadly affect the rate of future tissue donation and market acceptance of allograft based technologies by the medical community.</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believe that even if the medical community generally accepts our existing portfolio of products and any new products, line extensions or expanded indications, acceptance and recommendations by influential members of the medical community will be important to their broad commercial success. If the medical community does not broadly accept our products, we may not remain competitive in the market, which could adversely affect our business, results of operations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reserves we use to estimate the amount of variable consideration for items such as rebate payments due to third-party payers may be insufficient to cover our contractual payment obligations to them, which could adversely affect our business,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sales that include variable consideration, such as rebate payments, we establish reserves for the estimated variable consideration based on the amounts earned or eligible to be claimed on the related sales. Where appropriate, these estimates take into consideration a range of possible outcomes, which are probability-weighted for relevant factors such as our historical experience, current contractual requirements, specific known market events and trends, industry data and forecasted customer buying and payment patterns. For example, our HA viscosupplement products are primarily sold to healthcare providers who seek reimbursement from the patient’s insurance upon administering the products to their patients. Therefore, the Company establishes these reserves for the estimated amounts it believes the insurer will be eligible to claim on the related sales based upon the factors noted above. At the time of sale to the healthcare provider, we are unable to determine which of their patients will receive our products and what insurance coverage they may have. As a result, we are largely dependent on the payers with which we contract to provide timely and accurate claims data to establish our reserves. If the information is not received timely from the payer or is inaccurate or incomplete, or if the assumptions we use in establishing these reserves are wrong, we may not be able to correctly forecast the amounts due under those agreements and our reserve estimates may prove to be inadequate, which may adversely affect our operating results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manufacturers to manufacture certain of our products and critical components.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manufacturers generally manufacture our HA products, EXOGEN components, certain Surgical Solutions products, PNS and our PRP devices. We have developed in-house assembly capabilities for certain of our products, such as our EXOGEN Bone Stimulation System. We and our third-party manufacturers are required to comply with the Quality System Regulation (“QSR”), which is a set of FDA regulations that establishes cGMP requirements for medical devices and covers the methods and documentation of the design, testing, production, control, quality assurance and complaint handling, labeling, packaging, sterilization, storage and shipping of such devices. Moreover, certain of our products may be reclassified as drugs. In each case, such products would be required to comply with the cGMP requirements that apply to drugs and biologics, respectively.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limited number of suppliers and third-party manufacturers that operate under the FDA’s QSR requirements and that have the necessary expertise and capacity to manufacture our products or components for our products. As a result, it may be difficult for us to locate manufacturers for our anticipated future needs, and our anticipated growth could strain the ability of our current suppliers and third-party manufacturers to deliver products, materials and components to us. Upon expiration of our existing agreements with these third-party manufacturers, we may not be able to renegotiate the terms of our agreements with these third-party manufacturers on a commercially reasonable basis, or at all.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reliance on different contractor manufacturers to supply certain of our products and their components may result in wide variability in manufacturing processes, product quality and regulatory compliance. If we or our third-party manufacturers fail to maintain facilities in accordance with the FDA’s QSR, our products may suffer from product quality issues and the noncomplying party could lose the ability to manufacture our products on a commercial scale. Such issues may result in increased costs, disruptions in supply, contamination and mislabeling of products, and limit our ability to sell some of our products.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manufacturing of our products may not be easily transferable to other sites in the event that any of our third-party manufacturers experience breakdown, failure or substandard performance of equipment, disruption of supply or shortages of, or quality issues with, components of our products and other supplies, labor problems, power outages, adverse weather conditions, natural disasters (including natural events caused by or intensified by climate change), global pandemics, or the need to comply with environmental and other directives of governmental agencies. From time to time, a third-party manufacturer may experience financial difficulties, bankruptcy or other business disruptions, which could disrupt our supply of finished goods or require that we incur additional expense by providing financial accommodations to the third-party manufacturer or taking other steps to seek to minimize or avoid supply disruption, such as establishing a new third-party manufacturing arrangement with another provider. The loss of any of these third-party manufacturers or the failure for any reason of any of these third-party manufacturers to fulfill their obligations under their agreements with us, including a failure to meet our quality controls and standards, may result in disruptions to our supply of finished goods. We may be unable to locate an additional or alternate third-party manufacturing arrangement that meets our quality controls and standards in a timely manner or on commercially reasonable terms, if at all. If this occurs, our business, results of operations and financial condition will be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implementation of processing and billing system changes by payers, we may experience unexpected increases in the volume of rebate claims we receive from payers with whom we contract, which could negatively impact our business and financial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are recorded at the transaction price, which is determined by the contracted price net of estimates of variable consideration relating to various items, including rebates paid pursuant to contracts relating to the sale of our products. A large private insurance payer recently informed us that it has made changes to its claims data management and billing systems and that, as a result, we expect that we may experience significantly larger rebate volumes for our HA viscosupplement products for future periods than the Company previously estimated or has experienced in prior periods. We were also informed that the impact of these changes is not limited to our products and that other manufacturers under contract with this payer may experience similar increases. In addition, another payer that we contract with also recently notified us that they are implementing similar changes to their claims and billing systems. We are working with these payers to assess the impact that these changes may have on our business. Based on the information presently available, we believe that our current reserves represent our best estimate and are adequate to cover these additional rebate volumes, and we do not expect that the changes will have a material impact on our existing accruals. We are dependent on the payers we contract with to provide timely and accurate claims data and invoices to establish our rebates estimates. If this information is not received in a timely manner or is inaccurate or unexpectedly increases, our estimates may prove to be inadequate to cover any additional rebate volumes we may receive from payers in the future. If our rebate volumes increase or our estimates prove to be inadequate, our business, results of operation and financial condition may be adversely affected and our revenue may be lower than we forecasted.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maintain adequate levels of coverage and/or reimbursement for our products, the procedures using our products, or any future products we may seek to commercialize, the commercial success of these products may be severely hindered.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purchased by healthcare providers and customers who typically bill third-party payers or private insurance plans and healthcare networks to cover all or a portion of the costs and fees associated with our products. These third-party payers and insurers may deny reimbursement if they determine that a device or product provided to a patient or used in a procedure is not deemed medically necessary or otherwise does not meet applicable payment criteria or if the policyholder’s healthcare insurance benefits are limited. Further, limits put on reimbursement by third-party payers, whether foreign or domestic, governmental or commercial, could make it more difficult to buy our products and substantially reduce, or possibly eliminate, patient access to our products. For example, our TalisMann product is currently only covered under the Medicare program and our PRP product is not reimbursed by any third-party payer. In addition, the healthcare industry in the United States has experienced a trend toward cost containment as government and private insurers seek to control rising healthcare costs by imposing lower payment rates and negotiating reduced contract rates with providers and suppliers.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Private payers may adopt coverage decisions and payment amounts determined by the Centers for Medicare and Medicaid Services (“CMS”), the federal agency that administers the Medicare program in the United States, as guidelines in setting their coverage and reimbursement policies. In addition, CMS periodically reviews medical study literature to determine how the literature addresses certain procedures and therapies in the Medicare population. For some governmental programs, such as Medicaid, coverage and reimbursement differs from state to state. Medicaid payments to physicians, facilities and other providers are often lower than payments by other third-party payers and some state Medicaid programs may not pay an adequate amount for the procedures performed with our products, if any payment is made at all. If CMS, other government agencies or private payers lower their reimbursement rates or establish additional limitations on coverage of our products, or if any of the proposed drug pricing executive orders or legislative reforms are enacted, the commercial success of our products may be adversely affected.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 legislative or other regulatory reforms that have been adopted or may be adopted in the future may result in additional reductions in Medicare and other healthcare funding, more rigorous coverage criteria, new payment methodologies or other downward pressure on the pricing or reimbursement we or our customers receive for our products. For example, the Consolidated Appropriations Act, 2021 (“CAA”) was signed into law on December 27, 2020, and pursuant to implementing regulations promulgated by CMS, expanded price reporting obligations for manufacturers of certain products reimbursed under Medicare Part B beginning January 1, 2022, including all of our HA viscosupplements. In July 2022, CMS began utilizing the new pricing information we reported to it pursuant to these newly adopted reporting obligations to adjust the Medicare payment to healthcare providers using our Durolane and GELSYN-3 products. As a result, the rates available for those products beginning in July 2022 were reduced from those previously available and are subject to future reporting and adjustment, which may affect the demand for those products or our ability to sell them profitably. In addition, due to the manner in which rebates are calculated and paid under certain of our contracts with private payers, any such changes in the ASP for our HA viscosupplements may result in larger than expected rebate payments for the sale of these products. We cannot predict the extent to which this law, or other reimbursement reform proposals or other healthcare cost containment measures that might be enacted in the future, may impact the demand or commercial success of our HA viscosupplements and other products we sell or plan to commercialize in the future. Refer to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Government Regulation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Various governmental reimbursement reform and other healthcare cost containment proposals may affect our ability to sell our products profitably and could adversely affect our business results and operations and financial conditions.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CMS, which administers the Medicare program, has continued efforts to implement a competitive bidding program for selected DEMPOS items paid for by the Medicare program. In this program, Medicare rates are based on bid amounts for certain products in designated geographic areas, rather than the Medicare fee schedule amount. Bone growth stimulation products like EXOGEN are currently exempt from this competitive bidding process, but may be eligible for inclusion if the FDA’s proposed down-classification order becomes effective. We cannot predict which products from any of our businesses may ultimately be affected or whether or when the competitive bidding process may be extended to our businesses.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CMS periodically reviews medical study literature to determine how the literature addresses certain procedures and therapies in the Medicare population. The impact that these assessments could have on Medicare or third-party payer coverage determinations for our products is currently unknown, but we cannot provide assurances that the resulting actions will not restrict Medicare or other insurance coverage for our products. In addition, there can be no assurance that we or our distributors will not experience significant coverage or reimbursement impediments in the future related to these or other programs and policies of CMS. Specifically, drug pricing reform legislation and executive orders, which could negatively affect the reimbursement rates paid for our HA viscosupplements, have been issued by the White House and proposed and enacted by Congress.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Private payers may adopt coverage decisions and payment amounts determined by CMS as guidelines in setting their coverage and reimbursement policies. In addition, for some governmental programs, such as Medicaid, coverage and reimbursement differs from state to state. Medicaid payments to physicians, facilities and other providers are often lower than payments by other third-party payers and some state Medicaid programs may not pay an adequate amount for the procedures performed with our products, if any payment is made at all. If CMS, other government agencies or private payers lower their reimbursement rates, or if any of the proposed drug pricing executive orders or legislative reforms are enacted, the commercial success of our products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are damaged or become inoperable, we will be unable to continue to research, develop and manufacture our products and, as a result, our business, results of operations and financial condition may be adversely affected until we are able to secure a new facility.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redundant manufacturing facilities and have one primary location for manufacturing in Memphis, Tennessee. Our other facilities and equipment would be costly to replace and could require substantial lead-time to repair or replace. Our equipment and facilities might be harmed or rendered inoperable by natural disasters (including events caused by or intensified by climate change) or man-made disasters, including, but not limited to, tornadoes, flooding, fire and power outages. Such disasters may render it difficult or impossible to manufacture and commercialize our products and conduct our research and development activities for new products, line extensions and expanded indications. The inability to perform those activities, combined with our limited inventory of supplies, components and finished product, may result in the inability to continue manufacturing or supplying our products during such periods, the loss of customers, or harm to our reputation. Although we are insured against damage to our facilities and the disruption of our business, our insurance might not be sufficient to cover all of our potential losses and might not continue to be available to us on acceptable terms, or at all.</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consolidation in the healthcare industry leads to demand for price concessions or if a GPO, third-party payer or other similar entities exclude us from being a supplier.</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increase requests for pricing concessions or risk vendor exclusion. For example, non-clinical staff at hospitals are increasingly involved in the evaluation of products and product purchasing decisions. In order for us to sell our products, we must convince such staff as well as physicians and hospitals that our products are attractive alternatives to competing products for use in surgical procedures. Additionally, GPOs, IDNs and large single accounts may continue to use their market power to consolidate purchasing decisions for physicians. Third-party payers may also continue to use their market power to reduce the reimbursement for our products by increasing the rebates we are required to pay them when our products are covered, which may negatively impact our results.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and negatively impact our business, results of operations, financial condition and cash flows.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complete proposed acquisitions or to successfully integrate proposed or recent acquisitions in a cost-effective and non-disruptive manner.</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enhance and broaden our product offerings in response to changing customer demands, competitive pressures and advances in technologies, which may vary significantly across our product portfolio. We continue to search for viable acquisition candidates or strategic alliances that would expand our market sector and/or global presence, as well as additional products appropriate for current distribution channels. Accordingly, we have previously and may in the future pursue the acquisition of, or joint ventures relating to, new businesses, products or technologies instead of developing them internally. Our future success will depend, in part, upon our ability to manage the expanded business following these acquisitions, including challenges related to the management and monitoring of new operations and associated increased costs and complexity associated with potential acquisitions. Other risks involving potential future and completed acquisitions and strategic investments include:</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conducting due diligence;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technologies, products or business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anticipated synergies and overpaying for acquisitions or unanticipated costs associated with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 net sales assumptions for potential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distributors and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accounting and compliance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other companies for these opportunities, and we may be unable to consummate such acquisitions or joint ventures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The issuance of additional equity in connection with such acquisitions may dilute our stockholders.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strategic or financial benefits from our business divestitures, which may adversely affect our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divested of certain of our businesses, including our Advanced Rehabilitation Business and Wound Business, to help improve our focus on our core businesses and improve our liquidity. However, we may be unable to achieve some or all of the anticipated strategic and financial benefits following our business divestitures, as their anticipated benefits are based on a number of assumptions, some of which may prove incorrect. Any divestiture we undertake is subject to a variety of known and unknown risks and uncertainties. In addition, the anticipated benefits related to any divestiture may take longer to realize than expected or may not materialize, and a failure to achieve the anticipated financial and strategic benefits of a divestiture could be disruptive to our operations and could have a material adverse impact on our business, results of operations, financial condition and cash flows. For instance, we sold our Wound Business in May 2023, with earn-out payments expected in 2024, 2025, and 2026 contingent on certain post-closing financial targets. A final rule issued by the Centers for Medicare and Medicaid Services in late 2025 and effective January 1, 2026 changed the methodology for skin substitute payments from ASP-based reimbursement to a standardized flat rate. This change in payment methodology is expected to substantially decrease the reimbursement for skin substitute products, and may have a material adverse effect on the buyer’s revenue model and obligation to pay earn-outs under the sale. Further, even if we do realize some or all of the anticipated strategic and financial benefits following our divestitures, we may face indemnity and other liability claims by the acquirer or other parties.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or hospitals may affect our ability to sell our products at prices necessary to support our current business strategies.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Medical device companies, healthcare systems, IDNs and GPOs have intensified competitive pricing pressure as a result of industry trends and new technologies. Purchasing decisions are shifting to hospitals, IDNs and other hospital groups, with surgeons and other physicians increasingly acting only as “employees.” Changes in the purchasing behavior of hospitals or the amount that third-party payers are willing to reimburse our customers for procedures using our products, including as result of healthcare reform initiatives, could create additional pricing pressure on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such trends continue to drive down the prices we are able to charge for our products, our profit margins will shrink, adversely affecting our business, results of operations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enter into purchasing contracts for our Surgical Solutions products or engage in contract bidding processes internationally, we may not be able to receive access to certain hospital facilities and our sales may decrease.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hospital facilities where physicians treat patients with our Surgical Solution products typically require us to enter into purchasing contracts. The process of securing a satisfactory contract can be lengthy and time-consuming and require extensive negotiations and management time. In certain international jurisdictions,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 facilities through these contracting processes or otherwise, or if we are unable to secure contracts or tender successful bids, our sales may stagnate or decrease and our operating results may be harmed. Furthermore, we may expend significant effort in these time-consuming processes and still may not obtain a purchase contract from such hospitals.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may not provide coverage or reimbursement of our products, which may adversely affect our international expansion plans and harm our business, results of operations and financial condition.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Acceptance of our products in international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Our products may not obtain international coverage and reimbursement approvals in a timely manner, if at all, which may require consumers desiring our products to purchase them directly. Third-party coverage and reimbursement for our products or any of our products in development for which we may receive regulatory approval may not be available or adequate in international markets, which could adversely affect our business, results of operations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focus our sales, marketing and training efforts on physicians, surgeons and other healthcare professionals. The acceptance of our products depends in part on our ability to educate physicians as to the distinctive characteristics, benefits, safety, clinical efficacy and cost-effectiveness of our products compared to alternative products, procedures and therapies. If physicians, surgeons or other healthcare professionals are not properly trained, they may misuse or ineffectively use our products, which may result in unsatisfactory patient outcomes, patient injury, negative publicity or lawsuits against us. In addition, a failure to educate physicians, surgeons or other healthcare professionals regarding our products may impair our ability to achieve market acceptance of our products.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down-classification of non-invasive bone growth stimulators, including EXOGEN, by the FDA could increase future competition for bone growth stimulators and otherwise adversely affect our sales of EXOGEN.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FDA published a Federal Register notice announcing its proposal to reclassify non-invasive bone growth stimulators, such as EXOGEN, from Class III medical devices to Class II with special controls. Class III devices are subject to the most stringent regulatory pathway for approval for medical devices and require, among other things, rigorous clinical studies and pre-approval manufacturing review. Class II devices may be cleared for marketing by the FDA under the 510(k) pathway if they are determined to be substantially equivalent to a legally marketed predicate device. The 510(k) clearance process does not always require clinical testing, and is generally less onerous than the premarket approval process applicable to Class III devices. Also in 2020, the Orthopedic and Rehabilitation Devices Panel of the FDA Medical Devices Advisory Committee met and voted in favor of the FDA’s proposal to down-classify non-invasive bone growth stimulators.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FDA has not yet finalized its proposal to down-classify non-invasive bone growth stimulators, should such down-classification occur now or in the future, we could face additional competition from new market entrants who would be able to pursue marketing authorization through the 510(k) clearance pathway instead of the more onerous and burdensome PMA process. Class II devices that qualify as durable medical equipment under the Medicare program may also be eligible for inclusion in Medicare’s competitive bidding program for durable medical equipment, prosthetic and orthotic supplies (“DEMPOS”). As a result of down-classification, EXOGEN could face additional competition or we could receive lower reimbursement amounts, all of which could adversely affect our business, results of operations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and may compete in the future against other companies, some of which have longer operating histories, more established products or greater resources than we do, which may prevent us from achieving increased market penetration or improved operating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subject to rapid change and is significantly affected by market activities of industry participants, new product introductions and other technological advancements. We believe that our competitors have historically dedicated and will continue to dedicate significant resources to promote their products or to develop new products. We have competitors in the United States and internationally, including major medical device and pharmaceutical companies, biotechnology companies and universities and other research institutions.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companies and other industry participants may develop alternative treatments, products or procedures that compete directly or indirectly with our products. If alternative treatments are, or are perceived to be, superior to our products, sales of our products could be adversely affected and our results of operations could suffer. Our competitors may also develop and patent processes or products earlier than we can or obtain regulatory clearances, approvals or certifications for competing products more rapidly than we can, which could impair our ability to develop and commercialize similar processes or products.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current and potential competitors are major medical device and pharmaceutical companies that have substantially greater financial, technical and marketing resources than we do, and they may succeed in developing products that would render our products obsolete or noncompetitive. It is also possible that our competitors will be able to leverage their large market share to set prices at a level below that which is profitable for 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competitors have several competitive advantages over us, including:</w:t>
      </w:r>
    </w:p>
    <w:p>
      <w:pPr>
        <w:spacing w:after="0" w:line="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human and other resources for product research and development, sales and marketing and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intellectual property and more expansive portfolios of intellectual property rights, which could impact future products under development;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and maintaining regulatory clearances, approvals or certifications for products and product enhancements;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hospitals and other healthcare providers, physicians, suppliers, customers and third-party payers;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bundle products to offer greater incentives to gain a competitive advantage;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marketing and worldwide distribution networks.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introduction by competitors of products that compete with our existing or planned products may also make it difficult to market or sell our products. In addition, the entry of multiple new products and competitors may lead some of our competitors to employ pricing strategies that could adversely affect the pricing of our products and pricing in the market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our ability to compete successfully will depend on our ability to develop proprietary products that reach the market in a timely manner, receive adequate coverage and reimbursement from third-party payers, and are safer, less invasive and more effective than alternatives available for similar purposes. If we are unable to do so, our sales or margins could decrease, which would adversely affect our business, results of operations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reclassification of our HA products from medical devices to drugs in the United States by the FDA could negatively impact our ability to market these products and may require that we conduct costly additional clinical studies to support current or future indications for use of those products.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2018, the FDA published notice in the Federal Register announcing its intention to reconsider the appropriate classification of HA intra-articular products intended for the treatment of pain in OA of the knee. Although HA products intended for this use have previously been regulated as medical devices, in its notice the FDA stated that current published scientific literature supports that HA products achieve their primary intended purpose of treatment of pain in OA of the knee through biological action in the body which would require such products being classified as drugs. The FDA has encouraged organizations intending to submit applications for changes in indications for use, formulation, or route of administration of their HA products to obtain from the FDA an informal or formal classification and jurisdiction determination as a drug or device through a pre-request for designation or request for designation, respectively, prior to submission of such application. However, the FDA to date has taken no action to reclassify HA products from medical devices to drugs, or indicated what the potential ramifications would be for currently marketed HA products if a reclassification were to occur.</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the reclassification of HA products were to occur, the FDA may not allow us to continue to market our HA products without submitting additional clinical trial data, obtaining approval of an NDA for these products, or without otherwise complying with new conditions or limitations on how those products are marketed. Clinical testing can take years to complete, can be expensive and carries uncertain outcomes, and there is no guarantee that would be able to successfully obtain and maintain any required regulatory approvals. These new regulatory obligations could result in increased regulation and would subject our HA products to a new set of regulatory requirements to which they have not been previously subject. These changes could ultimately increase our costs, change levels of coverage and/or reimbursement for our HA products and adversely impact our business, results of operations and financial condition if they were to be implemented. See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are unable to achieve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maintain adequate levels of coverage and/or reimbursement for our products, the procedures using our products, or any future products we may seek to commercialize, the commercial success of these products may be severely hindered</w:t>
      </w:r>
      <w:r>
        <w:rPr>
          <w:rFonts w:ascii="Times New Roman" w:cs="Times New Roman" w:eastAsia="Times New Roman" w:hAnsi="Times New Roman"/>
          <w:sz w:val="18"/>
          <w:szCs w:val="18"/>
          <w:color w:val="auto"/>
        </w:rPr>
        <w:t>. Recent actions by the Centers for Medicare and Medicaid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reclassifying other device-like biologicals such as skin substitutes as supplies may signal a broader policy shift that could eventually target our HA portfolio, materially reducing average selling price. If that happens it could materially impact our HA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our competitive position and to execute our strategic plans depends on our ability to attract, retain and motivate our senior management team and other highly qualified personnel, and our failure to do so could adversely affect our business, results of operations and financial condition.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continued success depends to a significant extent upon the skill, experience and performance of members of our senior management team, who have been critical to the management of our operations and implementation of our strategy, as well as our ability to continue to attract, retain and motivate additional executive officers, and other key employees and consultants, such as those individuals who are engaged in our research and development efforts. The replacement of any of our key personnel likely would involve significant time and cost and may significantly delay or prevent the achievement of our business objectives and could therefore adversely affect our business, results of operations and financial condition. In addition, we do not carry any “key person” insurance policies that could offset potential loss of service under applicable circumstances.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for experienced employees in the medical device industry can be intense. To attract, retain and motivate qualified employees, we may utilize equity-based incentive awards, including employee stock options. If the value of such equity incentive awards does not appreciate as measured by the performance of the price of our Class A common stock, such awards may cease to be viewed as valuable and our ability to attract, retain and motivate our employees could be adversely impacted, which could adversely affect our business, results of operations and financial condition and/or require us to increase the amount we expend on cash and other forms of compensation.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strengthen our brand and the brands associated with our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strengthening the Bioventus brand and the brands associated with our products is critical to achieving widespread acceptance of our products, particularly because of the rapidly developing nature of the market for active healing products as well as the expansion of our product portfolio due to our recent acquisitions. Promoting and positioning our brand will depend largely on the success of our marketing efforts and the reliability of our products. Historically, our efforts to build our brand have involved marketing expenses, and it is likely that our future marketing efforts will require us to incur additional expenses. These brand promotion activities may not yield increased sales and, even if they do, any sales increases may not offset the expenses we incur to promote our brand and our products. If we fail to successfully promote and maintain our brand, or if we incur substantial expenses in an unsuccessful attempt to promote and maintain our brand and the brands of our products, our products may not be accepted by healthcare providers, which would cause our sales to decrease and would adversely affect our business, results of operations and financial condition.</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that could be expensive, divert management’s attention and harm our reputation and business. We may not be able to maintain adequate product liability insurance.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testing, manufacturing and marketing of our products. This risk exists even if a product is cleared, approved or certified for commercial sale by the FDA, foreign regulatory authorities or notified bodies and manufactured in facilities regulated by the FDA or an applicable foreign regulatory authority. Our products are designed to affect, and any future products will be designed to affect important bodily functions and processes. Any side effects, manufacturing defects, misuse or abuse associated with our products or our products in development could result in patient injury or death. The medical device industry has historically been subject to extensive litigation over product liability claims, and we cannot assure you that we will not face product liability claims. We may be subject to product liability claims if our products or products in development cause, or merely appear to have caused, patient injury or death, even if such injury or death was as a result of supplies or components that are produced by third-party suppliers. Product liability claims may be brought against us by consumers, healthcare providers or others selling or otherwise coming into contact with our products, among others. If we cannot successfully defend ourselves against product liability claims, we will incur substantial liabilities and reputational harm. In addition, regardless of merit or eventual outcome, product liability claims may result in:</w:t>
      </w:r>
    </w:p>
    <w:p>
      <w:pPr>
        <w:spacing w:after="0" w:line="3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existing or new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if cleared or approved, products in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net sales.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attempted and may continue to attempt to manage our product liability exposure by proactively recalling or withdrawing from the market any defective products, any recall or market withdrawal of our products may delay the supply of those products to our customers and may impact our reputation. For example, we have in the past instituted a voluntary recall for certain of our products. We cannot assure you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product safety or be perceived by patients as a safety risk when considering the use of our products, either of which could adversely affect our business, results of operations and financial condition.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although we have product liability and clinical study liability insurance policies that we believe provide appropriate levels of coverage,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adversely affect our business, results of operations and financial condition.</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demand for our products or our inability to forecast demand accurately may influence the ability of our suppliers to meet our delivery needs or result in excess product inventory.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by some of our contracts with suppliers of our products to forecast future product demand or meet minimum purchase requirements. Our HA product supply agreements are subject to minimum volumes based in part on forecasts, annual minimum purchase requirements and purchase amounts based on rolling annual forecasts. Our forecasts are based on multiple assumptions of product and market demand, which may cause our estimates to be inaccurate. If we underestimate demand, we may not have adequate supplies and could have reduced control over pricing, availability and delivery schedules with our suppliers, which could prevent us from meeting increased customer or consumer demand and harm our business. However, if we overestimate our demand, we may have underutilized assets and may experience reduced margins. If we do not accurately align our supplies with demand and/or fail to meet contractual minimum purchase requirements, our business, results of operations and financial condition may be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issues with respect to the supply of our products or their components, including increased costs, disruptions of supply, shortages, contamination or mislabeling.</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dependent on a limited number of suppliers for our products and components used in the manufacturing process of our products. Our top three single-source third-party manufacturers supply us with our HA products and constituted 49%, 46% and 43% of total net sales for the years ended December 31, 2025, 2024 and 2023, respectively. We may not be able to renew or enter into new contracts with our existing suppliers following the expiration of such contracts on commercially reasonable terms, or at all. Additionally, certain of our devices require circuit boards and other electronic components that could be in short supply. The unavailability of such components from our suppliers may impact our ability to meet the customer demand for these products.</w:t>
      </w:r>
    </w:p>
    <w:p>
      <w:pPr>
        <w:spacing w:after="0" w:line="2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certain of our bone graft substitute products depends on our suppliers continuing to have access to donated human cadaveric tissue, as well as the maintenance of high standards in their processing methodology. The supply of such donors can fluctuate over time. We cannot be certain that our current suppliers, who rely on allograft bone, plus any additional sources that our suppliers identify in the future, will be sufficient to meet our product needs. Our dependence on a limited number of third-party suppliers and the challenges that they may face in obtaining adequate supplies of allograft bone tissue involve several risks, including limited control over pricing, availability, quality and delivery schedules. We may be unable to find an alternative supplier in a reasonable time period or on commercially reasonable terms, if at all, which would adversely affect our business, results of operations and financial condition.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products or the components used in our products are alleged or proven to include quality or product defects, including as a result of improper methods of tissue recovery from donors and disease transmission from donated tissue or illegal harvesting, we may need to find alternate supplies, delay production of our products, discard or otherwise dispose of our products, or engage in a product recall, all of which may adversely affect our business, results of operations and financial condition. If our products or the components in our products are affected by adverse prices or quality or other concerns, we may not be able to identify alternate sources of components or other supplies that meet our quality controls and standards to sustain our sales volumes or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numerous contractual relationships, our business, results of operations and financial condition could be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numerous contracts in the normal course of our business, including our supply and distribution agreements. We have contractual relationships with suppliers, distributors and agents, as well as service providers. In the aggregate, these contractual relationships are necessary for us to operate our business. From time to time, we amend, terminate or negotiate our contracts. We may also periodically be subject to, or make claims of breach of contract, or threaten legal action relating to our contracts. These actions may result in litigation. At any one time, we have a number of negotiations under way for new or amended commercial agreements. We devote substantial time, effort and expense to the administration and negotiation of contracts involved in our business. However, these contracts may not continue in effect past their current term or we may not be able to negotiate satisfactory contracts in the future with current or new business partners, which may adversely affect our business, results of operations and financial condition.</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attempted breaches of security, unauthorized access to or disclosure of information, cyberattacks, or other incidents or the perception that personal and/or other sensitive or confidential information in our possession or control or in the possession or control of our vendors or service providers is not secure, could result in a material loss of business, substantial legal liability or significant harm to our reputation.</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receive, collect, process, use and store directly and through third-party vendors and service providers a large amount of information, including personally identifiable information, protected health information and other sensitive and confidential information. This data is often accessed by us through transmissions over public and private networks, including the internet. The secure transmission of such information over the internet and other mechanisms is essential to maintain confidence in our information technology systems. Despite the privacy and security measures we have in place to comply with applicable laws, regulations and contractual requirements, our facilities and systems, and those of our third-party vendors and service providers, are vulnerable to privacy and security incidents including, but not limited to, computer hacking, breaches, acts of vandalism or theft, computer viruses and other malware, including ransomware and other forms of cyberattacks, misplaced or lost data, programming and/or human errors, and other similar events. A party, whether internal or external, that is able to circumvent our security measures or those of our third-party vendors and service providers could, among other things, misappropriate or misuse sensitive or confidential information, misappropriate user information or other proprietary information, or cause significant interruptions in our operations. Internal or external parties have and will continue to attempt to circumvent our security systems and those of our vendors and service providers, and we expect that we may in the future continue to experience, among other things, external attacks on our network and attempts to gain unauthorized access to sensitive and confidential information, such as reconnaissance probes, denial of service attempts, malware attacks, malicious software attacks and phishing attacks. For example, in January 2023, an external phishing incident targeted an employee with plausible-sounding prompts to send information to Company leadership. This security incident did not expose protected health information, or affect any of the company’s systems, and was reported to authorities in the relevant regions. Cyberthreats and techniques used to circumvent security systems can be highly sophisticated and change frequently, including cyberthreats posed by emerging technologies such as artificial intelligence and quantum computing. We may be unable to proactively address all possible cyberthreats and techniques or implement adequate preventive measures for all situations. Attacks upon information technology systems are also increasing in their frequency, level of persistence, and sophistication, and are being conducted by sophisticated and organized groups and individuals with a wide range of motives and expertise. We may also face increased cybersecurity risks due to our reliance on internet technology,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Recent, well-publicized cyberattacks on companies have resulted in the unauthorized access to and acquisition of significant amounts of sensitive and confidential information and the disruption of important systems and services. These incidents demonstrate the sophistication of the threat actors and magnitude of the threat posed to companies across the nation, including the health care industry. For example, in 2024, a vendor informed us that Change Healthcare, a subsidiary of UnitedHealth Group that acts as an intermediary for processing certain of our claims for reimbursement related to our EXOGEN device to commercial payers, experienced an incident in which a cybersecurity threat actor gained access to some of its information technology systems. As a result of the Change Healthcare incident, certain of our patient billing and collections processes were disrupted. We identified an alternative claim processing intermediary and resumed claims submissions, but this incident caused delays without material effect in a portion of our claims submissions to some commercial payers thereby delaying the related cash remittances to 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individual or entity is able to gain unauthorized access to our systems or those of our vendors or service providers, the individual or entity could access, acquire, or alter any information located therein or cause interruptions to our operations. Security breaches and other incidents could also damage our reputation and expose us to a risk of monetary loss and/or litigation, fines, sanctions, and reputational damage. We also face risks associated with security breaches and other incidents affecting third parties that conduct business with us or our customers and others who interact with our data, as well as incidents affecting service providers of these third parties.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our vendors or service providers with access to our or our customers’, suppliers’, trial patients’, and employees’ personally identifiable and other sensitive or confidential information for which we are responsible will not breach contractual obligations imposed by us, or that they will not experience data security breaches, cyberattacks or other incidents negatively impacting the privacy or security of sensitive or confidential information or our vendors’ or service providers’ ability to provide services to us, which could have a corresponding effect on our business including putting us in breach of our obligations under privacy laws and regulations and/or which could in turn adversely affect our business, results of operations and financial condition. Nor can we provide assurance that our vendors may not incorporate artificial intelligence tools that fail to meet existing or rapidly evolving regulatory or industry standards, including with respect to privacy and data security. While we attempt to address the associated risks by performing security assessments and detailed due diligence, we cannot assure you that these contractual measures and our own privacy and security-related due diligence safeguards will protect us from the risks associated with the processing, storage and transmission of such information by vendors, service providers and others acting on our behalf.</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maintain insurance that covers certain security and privacy breaches, we may not carry or maintain sufficient coverage to compensate for all potential liability. Additionally, the costs incurred to remediate any data security or privacy incident could be substantial.</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and communication system, process or site could adversely affect our business,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extensively on information technology and communication systems and software and hardware products, including those of external providers, to conduct business. These systems, software, and hardware impact, among other things, ordering and managing components of our products from suppliers, shipping products to customers on a timely basis, processing transactions, coordinating our sales activities across all of our products, summarizing and reporting results of operations, complying with regulatory, legal or tax requirements, data security and other processes necessary to manage our business.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any precautions we may take, our systems and software and hardware could be exposed to damage or interruption from circumstances beyond our control, such as fire, natural disasters, systems failures, power outages, cyberattacks, terrorism, energy loss, telecommunications failure, security breaches, computer viruses and similar disruptions affecting the global Internet. Although we have taken steps to prevent system failures and have back-up systems and procedures to prevent or reduce disruptions, such steps may not prevent an interruption of services and our disaster recovery planning may not be adequate or account for all contingencies. Additionally, our insurance may not adequately compensate us for all losses or failures that may occur. If our systems or software and hardware are damaged or cease to function properly and our business continuity plans do not effectively compensate on a timely basis, we may suffer interruptions in our operations, which could adversely affect our business, results of operations and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improve and upgrade our systems and infrastructure as our operations grow in scale in order to maintain the reliability and integrity of our systems and infrastructure. The expansion of our systems and infrastructure will require us to commit substantial financial, operational and technical resources before the volume of our business increases, with no assurance that the volume of business will increase. Any service outages or delays due to the installation of any new or upgraded technology (and customer issues therewith), or the impact on the reliability of our data from any new or upgraded technology could adversely affect our business, results of operations and financial condition.</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subjects us to economic, political, regulatory and other risks associated with international sales and operations that could adversely affect our business,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we sell our products in many different jurisdictions outside the United States, our business is subject to risks associated with conducting business internationally. We anticipate that net sales from international operations will continue to represent a portion of our total net sales. In addition, some of our manufacturing facilities and suppliers of our products and product components are located outside the United States, including in Israel. Accordingly, our future results could be harmed by a variety of factors associated with international sales and operations, including:</w:t>
      </w:r>
    </w:p>
    <w:p>
      <w:pPr>
        <w:spacing w:after="0" w:line="3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35" w:lineRule="exact"/>
        <w:rPr>
          <w:rFonts w:ascii="Arial" w:cs="Arial" w:eastAsia="Arial" w:hAnsi="Arial"/>
          <w:sz w:val="22"/>
          <w:szCs w:val="22"/>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import/export restrictions, foreign investment reviews, export licensing requirements, or other requirements or restrictive actions by the United States or foreign governments;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or currency controls, which could result in increased operating expenses and reduced revenue, and other obligations incident to doing business in another country;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some foreign countries potentially having longer payment cycles;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of our foreign operations to liability under U.S. laws and regulations, including the U.S. Foreign Corrupt Practices Act (“FCPA”), U.S. trade, sanctions and anti-boycott regulations and U.S. anti-money laundering regulations, as well as disadvantages of competing against companies from countries that are not subject to these regulatory regimes;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of third parties on our products and the procedures in which they are used;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greater difficulty enforcing our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 including compliance with tax, employment, immigration and labor laws for employees living or traveling abroad;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liability under a variety of local, national and multinational laws and regulations in multiple jurisdictions, including data privacy laws, healthcare and pharmaceutical laws, antitrust and competition laws, anti-bribery and anti-corruption laws and international trade laws;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regulators and third-party payers requiring additional clinical studies prior to approving or allowing reimbursement for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material supply or manufacturing capabilities abroad;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armed conflict, terrorism, trade restrictions, or disruptions, public health emergencies, or natural disasters including earthquakes, hurricanes, floods and fires. Any development, escalation, expansion, or protracted continuation of geopolitical conflict, including in Eastern Europe, the Middle East, and South America, could heighten many of the other risk factors included in our SEC filings.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further expansion into new international markets may require significant resources and the efforts and attention of our management and other personnel, which may divert resources from our existing business operations. As we expand our business internationally, our success will depend, in large part, on our ability to anticipate and effectively manage these and other risks associated with our operations outside of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risks, which may adversely affect our business, results of operations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External events such as the withdrawal by the United Kingdom from the EU, global pandemics, the ongoing uncertainty regarding actual and potential shifts in U.S. and foreign trade, economic and other policies and the passage of U.S. taxation reform legislation have caused, and may continue to cause, significant volatility in currency exchange rates. Because some of our revenue, expenses, assets and liabilities are denominated in foreign currencies, we are subject to exchange rate and currency risks. Our financial statements are presented in U.S. Dollars which may result in currency gain or loss, the outcome of which we cannot predict. Furthermore, to the extent that we incur expenses or earn revenue in currencies other than in U.S. Dollars, any change in the values of those foreign currencies relative to the U.S. Dollar could cause our profits to decrease or our products to be less competitive against those of our competitors. To the extent that our current assets denominated in foreign currency are greater or less than our current liabilities denominated in foreign currencies, we face potential foreign exchange exposure.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minimize such exposures, we have entered, and may in the future enter, into derivative instruments related to forecasted foreign currency transactions or currency hedges from time to time. Losses from changes in the value of the Euro or other foreign currencies relative to the U.S. Dollar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tariffs, including tariffs applied to goods traded between the United States and other countries, and restrictions on goods imported from certain such regions may adversely affect our business,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evolving international trade policies and relations, including changes in trade agreements and the imposition of new or increased tariffs by the United States government and retaliatory tariffs by other nations. Various members of the United States government have stated that it intends to impose tariffs in pursuing government policy and has already imposed, or announced, several new or increased tariffs, including tariffs on goods and materials from various countries including member countries of the European Union, Switzerland, Canada, Mexico, Japan and China. When unilateral changes are made to United States import tariffs, other countries may reciprocate, and in many cases have reciprocated, with tariffs imposed or announced, against the United States. In some instances, new tariff policies have resulted in the United States entering into international trade agreements with other countries. The impact of the new and evolving tariff policies and trade agreements, including whether and to what extent the new and increased tariffs will remain in place or additional tariffs will be imposed remains uncertain. If tariffs are imposed or increased by either the United States or other countries, it may impact our cost of goods, and the price of, and demand for, our products in countries impacted by such tariffs. For example, our Durolane and Gelsyn products are manufactured in Sweden and Switzerland, respectively. The enactment of new tariffs, or increases in existing tariffs, or other such charges, may increase the cost of importing these products into the United States. This may have an adverse effect on our business or our results of operations. The institution of trade tariffs globally also carries the risk of adversely affecting overall global economic or political conditions, which could have a negative impact on us.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U.S. has previously enacted, and it or other countries may in the future enact, legislation that limits or prohibits the use of foreign manufactured equipment or supplies from China, such as the Uyghur Forced Labor Prevention Act, which imposes a ban on virtually all imports from the Xinjiang region of China unless companies are able to prove that the products were not made with forced labor, which could have an adverse effect on our ability to conduct our business and our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factors listed below describe the risks we face related to government regulation. The companies who manufacture or produce certain of the products we distribute face similar risks with respect to government regulation relating to such products. If such suppliers are unable to comply with government regulations, they may not be able to continue to supply us with products, which could adversely affect our business, results of operations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our failure to comply with applicable requirements could cause our business to suffer.</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and in particular the medical device industry, are regulated extensively by governmental authorities, principally the FDA and corresponding state and foreign regulatory agencies and authorities. The FDA and other U.S. and foreign governmental agencies and authorities regulate and oversee, among other things:</w:t>
      </w:r>
    </w:p>
    <w:p>
      <w:pPr>
        <w:spacing w:after="0" w:line="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approval and certification;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assessment procedures;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procedures;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other field safety corrective actions;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studies;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comply with applicable regulations could jeopardize our ability to sell our products and result in enforcement actions such as:</w:t>
      </w:r>
    </w:p>
    <w:p>
      <w:pPr>
        <w:spacing w:after="0" w:line="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penalties or fines;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pending or future clearances, approvals or certifications for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suspension of regulatory clearances, approvals or certifications;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 of us or our employees.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harm our reputation, business, results of operations and financial condition.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Moreover, governmental authorities outside the United States have become increasingly stringent in their regulation of medical devices, and our products may become subject to more rigorous regulation by non-U.S. governmental authorities in the future. U.S. or non-U.S. government regulations may be imposed in the future that adversely affect our business, results of operations and financial condition. The European Commission has harmonized national regulations for the control of medical devices through European Medical Device Regulations with which manufacturers must comply. Under these new regulations, manufacturing plants must have received a full Quality Assurance Certification from a “Notified Body” to be able to sell products within the member states of the EU. This certification allows manufacturers to stamp the products of certified plants with a “CE” mark. Products covered by European Commission regulations that do not bear the CE mark cannot be sold or distributed within the EU. Refer to </w:t>
      </w:r>
      <w:r>
        <w:rPr>
          <w:rFonts w:ascii="Times New Roman" w:cs="Times New Roman" w:eastAsia="Times New Roman" w:hAnsi="Times New Roman"/>
          <w:sz w:val="18"/>
          <w:szCs w:val="18"/>
          <w:i w:val="1"/>
          <w:iCs w:val="1"/>
          <w:color w:val="auto"/>
        </w:rPr>
        <w:t>Part I, Item 1A. 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Regulation—Regulatory reforms, such as the EU Medical Devices Regulation, could limit our ability to market and distribute our products after clearance, approval or certification is obtained and make it more difficult or costly for us to obtain regulatory clearance, approval or certification of any future products, which could adversely affect our competitive position and materially affect our business and financial results.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claims submission practices and resulting audits or denials of our claims by government agencies could reduce our net sales or profits and could lead to significant civil or criminal penalties and other liability.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EXOGEN Bone Stimulation System, we submit claims directly to, and receive payments directly from, the Medicare and Medicaid programs and private payers. Therefore, we are subject to extensive government regulation, including detailed requirements for submitting claims under appropriate codes and maintaining certain documentation, including evidence that all medical necessity requirements are met to support our claims. Billing for our EXOGEN Bone Stimulation System is complex, time-consuming and expensive, particularly for items and services provided to government healthcare program beneficiaries, such as Medicare and Medicaid. Reimbursement claims may be adversely affected by improper completion of the Certificates of Medical Necessity (“CMN”) or other documentation required in connection with Medicare claims for the EXOGEN Bone Stimulation System and we may be subject to investigations by governmental authorities or third-party payers and required to prove the validity of the claims or the authenticity of the signatures on the CMNs under investigation. Reimbursement claims may also be adversely affected by the promotion of our devices for unapproved or off-label uses or assistance with the reimbursement process that could result in false or fraudulent claims for reimbursement being submitted to government or private payers. Depending on the billing arrangement and applicable law, we bill various payers, all of which may have different prior authorization, patient qualification and medical necessity requirements, as well as patients for any applicable co-payments or co-insurance amounts. In addition, we may also face increased risk in our collection efforts, including potential write-offs of doubtful accounts and long collection cycles, any of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also required to implement compliance procedures and to oversee, train and monitor our employees’ compliance with those procedures, appeal coverage and payment denials, and perform internal audits periodically to assess compliance with applicable laws and regulations as well as internal compliance policies and procedures. We are required to report and return any overpayments received from government payers within 60 days of identification and exercise of reasonable diligence to investigate credible information regarding potential overpayments. Failure to identify and return such overpayments exposes the provider or supplier to liability under federal false claims laws. For example, in February 2021 we entered into a settlement agreement with the United States Attorney’s Office for the Middle District of North Carolina and the Office of Inspector General of the U.S. Department of Health and Human Services to resolve potential liabilities associated with a self-disclosure we made to the OIG in November 2018 regarding violations of certain Medicare claim submission requirements. See </w:t>
      </w:r>
      <w:r>
        <w:rPr>
          <w:rFonts w:ascii="Times New Roman" w:cs="Times New Roman" w:eastAsia="Times New Roman" w:hAnsi="Times New Roman"/>
          <w:sz w:val="18"/>
          <w:szCs w:val="18"/>
          <w:i w:val="1"/>
          <w:iCs w:val="1"/>
          <w:color w:val="auto"/>
        </w:rPr>
        <w:t>Part I, Item 1A. Risk Factors—Risks Related to Government Regulation—We are subject to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 and foreign laws and regulations relating to our healthcare business, and could face substantial penalties if we are determined not to have fully complied with such laws, which would adversely affect our business, results of operations and financial condition. </w:t>
      </w:r>
      <w:r>
        <w:rPr>
          <w:rFonts w:ascii="Times New Roman" w:cs="Times New Roman" w:eastAsia="Times New Roman" w:hAnsi="Times New Roman"/>
          <w:sz w:val="18"/>
          <w:szCs w:val="18"/>
          <w:color w:val="auto"/>
        </w:rPr>
        <w:t>Moreover, Medicare contractors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Medicaid agencies periodically conduct pre- and post-payment reviews and other audits of claims and are under increasing pressure to more closely scrutinize healthcare claims and supporting documentation. We may be subject to prepayment and post-payment reviews, as well as audits of claims in the future. For instance, the Department of Health and Human Services Office of Inspector General is evaluating skin substitute billing from prior years. Although we divested our Wound Business in 2023, continuing indemnification obligations mean that the Department of Health and Human Services’ focus on past billing for skin substitute products may impact our Company. Private payers may from time to time conduct similar reviews and audits. Any third-party payer reviews and audits of our claims could result in material delays in payment, material recoupments, overpayments, claim denials, fines, revocations of billing privileges, bars on re-enrollment in federal or state healthcare programs, cancellation of our agreements or damage to our reputation, any of which would reduce our net sales and profitability.</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process is expensive, time-consuming and uncertain, and the failure to obtain and maintain required regulatory clearances and approvals could prevent us from commercializing our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we can market or sell a new medical device or other product or a new use of or a claim for or significant modification to an existing medical device in the United States, we must obtain either clearance from the FDA under the 510(k) pathway or approval of an application for Pre-market Approval (“PMA”), unless an exemption applies. In the United States, we have obtained 510(k) clearance from the FDA to market certain of our products such as SIGNAFUSE Bioactive Bone Graft Putty, Interface Bioactive Bone Graft and SIGNAFUSE Mineralized Collagen Scaffold. Our Pain Treatment products, including Durolane, GELSYN-3 and SUPARTZ FX, and our EXOGEN Bone Stimulation System, have obtained a PMA. In the 510(k) clearance process, the FDA must determine that a proposed device is “substantially equivalent” to a legally-marketed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In the PMA process, the FDA must determine that a proposed product is safe and effective for its intended use based, in part, on extensive data, including, but not limited to, technical, preclinical, clinical trial, manufacturing and labeling data. The PMA process is typically required for products that are deemed to pose the greatest risk, such as life-sustaining, life-supporting or implantable devices.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Both the PMA approval and the 510(k) clearance process can be expensive, lengthy and uncertain. The FDA’s 510(k) clearance process usually takes from three to twelve months, but can last longer. The process of obtaining a PMA is much more costly and uncertain than the 510(k) clearance process and generally takes from six to eighteen months, or even longer, from the time the application is filed with the FDA. If the mass layoffs that began at the FDA in February 2025 continue, or are not reversed, then the clearance and approval process may be extended even longer. In addition, a PMA generally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modification to one of our 510(k)-cleared products that would constitute a major change in its intended use, or any change that could significantly affect the safety or effectiveness of the device would require us to obtain a new 510(k) marketing clearance and may even, in some circumstances, require the submission of a PMA application, if the change raises complex or novel scientific issues or the product has a new intended use. The FDA requires every manufacturer to make the determination regarding the need for a new 510(k) submission in the first instance, but the FDA may review any manufacturer’s decision. We may make changes to our 510(k)-cleared products in the future, which we may determine do not require a new 510(k) clearance or PMA. If the FDA disagrees with our decision not to seek a new 510(k) or PMA for changes or modifications to existing devices and requires new clearances or approvals, we may be required to recall and stop marketing our products as modified, which could require us to redesign our products, conduct clinical trials to support any modifications, and pay significant regulatory fines or penalties. If there is any delay or failure in obtaining required clearances or approvals or if the FDA requires us to go through a lengthier, more rigorous examination for future products or modifications to existing products than we had expected, our ability to introduce new or enhanced products in a timely manner would be adversely affected, which in turn would result in delayed or no realization of revenue from such product enhancements or new products and could also result in substantial additional costs which could decrease our profitability.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63"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demonstrate to the FDA’s satisfaction that the product or modification is substantially equivalent to the proposed predicate device or safe and effective for its intended use;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data from our preclinical studies and clinical trials may be insufficient to support clearance or approval, where required;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manufacturing process or facilities we use may not meet applicable requirements.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or approved products on a timely basis. Even after clearance or approval for our products is obtained, we and the products are subject to extensive post-market regulation by the FDA, including with respect to advertising, marketing, labeling, manufacturing, distribution, import, export, and clinical evaluation.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required to timely file various reports with regulatory agencies. If these reports are not timely filed, regulators may impose sanctions and sales of our products may suffer, and we may be subject to product liability or regulatory enforcement actions, all of which could harm our business. In addition, if we initiate a correction or removal for one of our devices, issue a safety alert, or undertake a field action or recall to reduce a risk to health posed by the device, we may be required to submit a report to the FDA, and in many cases, to other regulatory agencies. Such reports could lead to increased scrutiny by the FDA, other international regulatory agencies and our customers regarding the quality and safety of our devices and to negative publicity, including FDA alerts, press releases, or administrative or judicial actions. Furthermore, the submission of these reports has been and could be used by competitors against us in competitive situations and cause customers to delay purchase decisions or cancel orders, which would harm our reputation and business.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applications for a PMA or foreign regulatory approvals of new products, new intended uses or modifications to existing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510(k) clearances, PMAs or foreign regulatory approvals, resulting in prohibitions on sales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as a result of a changing regulatory landscape, we may lose any marketing approvals or clearances that we have already obtained or fail to obtain new marketing approvals or clearances, and we may not be able to achieve or sustain profitability, which would adversely affect our business, prospects, financial condition and results of operations.</w:t>
      </w:r>
    </w:p>
    <w:p>
      <w:pPr>
        <w:spacing w:after="0" w:line="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including those currently under consideration by FDA and the EU, could make it more difficult or costly for us to obtain regulatory clearance, approval or certification of any future products and to manufacture, market and distribute our products after clearance, approval or certification is obtained, which could adversely affect our competitive position and materially affect our business and financial results.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legislation is introduced that could significantly change the statutory provisions and regulations governing the approval, manufacture and marketing of regulated products or the reimbursement thereof. In addition, the FDA may change its clearance and approval policies, adopt additional regulations or revise existing regulations, propose new reclassification orders, or take other actions, which may prevent or delay approval or clearance of our future products under development or impact our ability to market or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510(k) premarket notification pathway, including plans to potentially sunset certain older devices that were used as predicates under the 510(k) clearance pathway. In September 2019, the FDA also issued revised final guidance establishing a “Safety and Performance Based Pathway” for “manufacturers of certain well-understood device types” allowing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 The FDA has developed and maintains a list of device types appropriate for the “safety and performance based” pathway and continues to develop product-specific guidance documents that identify the performance criteria and recommended testing methodologies for each such device type, where feasible. Some of these proposals have not yet been finalized or adopted, and the FDA announced that it would seek public feedback prior to publication of any such proposals, and may work with Congress to implement such proposals through legislation. Accordingly, it is unclear the extent to which any changes could impose additional regulatory requirements on us that could delay our ability to obtain clearances, increase the costs of compliance, or restrict our ability to maintain our current clearances, or otherwise create competition that may negatively affect our business.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HCT/P products are subject to extensive government regulation and our failure to comply with these requirements could cause our business to suffer.</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sell human tissue-derived Surgical Solutions products, which are referred to by the FDA as human cells, tissues and cellular or tissue-based products (“HCT/Ps”). In the United States, we are marketing our HCT/Ps pursuant to Section 361 of the PHSA and 21 CFR Part 1271 of the FDA’s regulations. We do not manufacture these HCT/P products, but serve as a distributor for them. Section 361 HCT/Ps are not currently subject to the FDA requirements to obtain marketing authorizations as long as they meet certain criteria provided in the FDA’s regulations. HCT/Ps regulated as “361 HCT/Ps” are currently subject to requirements relating to registering facilities and listing products with the FDA, screening and testing for tissue donor eligibility, cGTP, when processing, storing, labeling and distributing HCT/Ps, including required labeling information, stringent record keeping and adverse event reporting. If we or our suppliers fail to comply with these requirements, we could be subject to FDA enforcement action, including, for example, warning letters, fines, injunctions, product recalls or seizures, and, in the most serious cases, criminal penalties. To be regulated as Section 361 HCT/Ps, these products must meet the FDA’s criteria to be considered “minimally manipulated” and intended for “homologous use,” among other requirements. HCT/Ps that do not meet the criteria to be considered Section 361 HCT/Ps are subject to the FDA’s regulatory requirements applicable to medical devices, biologics or drugs. Device, biologic or drug HCT/Ps must comply both with the requirements exclusively applicable to Section 361 HCT/Ps and, in addition, with other requirements, including requirements for marketing authorization, such as 510(k) clearance, PMA or BLA approvals before marketing. We believe our HCT/Ps are regulated solely under Section 361 of the PHSA, and therefore, we have not sought or obtained 510(k) clearance, a PMA, or licensure through a BLA for such HCT/Ps.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could disagree with our determination that these human tissue products are Section 361 HCT/Ps and could determine that these products are biologics requiring a BLA or medical devices requiring 510(k) clearance or a PMA, and could require that we cease marketing such products and/or recall them pending appropriate clearance, approval or licensure from the FDA. If we have to cease marketing and/or have to recall any of our Surgical Solutions products our net sales would decrease, which would adversely affect our business, results of operations and financial condition.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HCT/Ps that do not meet the criteria of Section 361 are regulated under Section 351 of the PHSA. HCT/Ps regulated as “Section 351” HCT/Ps are subject to premarket review and approval by the FDA. In November 2017, the FDA released a guidance document entitled “Regulatory Considerations for Human Cells, Tissues, and Cellular and Tissue - Based Products: Minimal Manipulation and Homologous Use - Guidance for Industry and Food and Drug Administration Staff.” The guidance outlined the FDA’s position that all lyophilized amniotic products are more than minimally manipulated and would therefore require a BLA to be lawfully marketed in the United States. The FDA resumed enforcement of IND and premarket approval requirements with respect to these products as of June 1, 2021.</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FDA may in the future modify the scope of its enforcement discretion with respect to Section 361 HCT/Ps or change its position on which current or future products qualify as Section 361 HCT/Ps, or determine that some or all of our HCT/P products may not be lawfully marketed under the FDA’s policy of enforcement discretion. Any regulatory changes could have adverse consequences for us and make it more difficult or expensive for us to conduct our business by requiring pre-market clearance or approval and compliance with additional post-market regulatory requirements with respect to those products.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clinical studies of our future products do not produce results necessary to support regulatory clearance, approval or certification in the United States or elsewhere, we will be unable to expand the indications for or commercialize these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likely need to conduct additional clinical studies in the future to support new indications for our products or for clearances, approvals or certifications of new product lines, or for the approval or certification of the use of our products in some foreign countries. Clinical testing can take many years, is expensive and carries uncertain outcomes. The initiation and completion of any of these studies may be prevented, delayed, or halted for numerous reasons. Conducting successful clinical studies requires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proximity of patients to clinical sites, patient ability to meet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failure can occur at any stage of testing. Our clinical studies may produce negative or inconclusive results, and we may decide, or regulators may require us, to conduct additional clinical and non-clinical studies in addition to those we have planned. In addition, failure to adequately demonstrate the safety and efficacy of any of our devices would prevent receipt of regulatory clearance, approval or certification and, ultimately, the commercialization of that device or indication for use. Even if our future products are cleared in the United States, commercialization of our products in foreign countries would require approval or certification by regulatory authorities or notified bodies in those countries. Approval and certification procedures vary among jurisdictions and can involve requirements and administrative review periods different from, and greater than, those in the United States, including additional preclinical studies or clinical trials. Any of these occurrences could adversely affect our business, results of operations and financial condition.</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Preliminary, “top-line,” or interim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preliminary, interim, or “top-line” data and final data could significantly harm our business prospects and may cause the trading price of our common stock to fluctuate significantly.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marketing or promotion of our products, and the misuse or off-label use of our products may harm our image in the marketplace, result in injuries that lead to product liability suits or result in costly investigations, fines and/or sanctions by regulatory bodies if we are deemed to have engaged in the promotion of these uses, any of which could be costly to our business.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products that we currently market have been cleared, approved or certified by the FDA and other foreign regulatory authorities and notified bodies for specific treatments. We cannot prevent a physician from using our products outside of such cleared or approved indications for use, known as off-label uses. While we do not analyze the ordering practices of physicians with respect to off-label uses, we are aware of certain off-label uses of our EXOGEN and StimRouter products. As a result, we could be subject to regulatory or enforcement actions if we are determined to have engaged in promotion of our products for off-label uses, or otherwise determined to have made false or misleading statements about our products. There may be increased risk of injury to patients if physicians attempt to use our products off-label. Furthermore, the use of our products for indications other than those cleared, approved or certified by the FDA or any foreign regulatory authority or notified body may not effectively treat such conditions, which could harm our reputation in the marketplace among physicians and patients.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liability risks to us for product and medical malpractice related claims. If our products are misused or used with improper technique, we may become subject to costly litigation by our customers or their patients. Product liability and related claims could divert management’s attention from our core business, be expensive to defend and result in sizeable damage awards against us that may not be covered by insurance.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our promotional materials and training methods must comply with FDA and other applicable laws and regulations, including the prohibition of the promotion of off-label use. If the FDA or any foreign regulatory body determines that our promotional materials or training constitute promotion of an off-label use, the FDA could request that we modify our training,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under other statutory authorities, such as laws prohibiting false claims for reimbursement. Such enforcement actions may include, but are not limited to, criminal, civil and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that we are required to report to the FDA, and if we fail to do so, we would be subject to sanctions that could materially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marketed products are subject to medical device reporting obligations, which require that we report to the FDA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medical device reporting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warning letters, untitled letters, administrative actions, criminal prosecution, imposition of civil monetary penalties, revocation of our device clearances, seizure of our products, or delay in clearance of future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are subject to various governmental regulations related to the manufacturing of our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and the manufacturing processes, reporting requirements, post-approval clinical data and promotional activities for such products, will be subject to continued regulatory review, oversight and periodic inspection by the FDA and other domestic and foreign regulatory bodies. In particular, the methods used in, and the facilities used for, the manufacture of the products that we own and distribute that are regulated as medical devices must comply with the FDA’s QSR, which covers the procedures and documentation of the design, testing, production, control, quality assurance, labeling, packaging, sterilization, storage and shipping of medical devices. The FDA enforces the QSR through periodically announced or unannounced inspections of manufacturing facilities, and both we and our third-party manufacturers and suppliers are subject to such inspections. Similarly, the devices we distribute on behalf of third-party manufacturers that are regulated as Section 361 HCT/Ps must be manufactured in compliance with the FDA’s cGTP requirements and other related requirements. Moreover, should any of our HA products be reclassified as drugs, such products would be required to comply with a different set of manufacturing requirements under the FDA’s cGMP requirements for drugs. The need to comply with different manufacturing requirements may require us to seek new suppliers.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FDA requirements, or later discovery of previously unknown problems with our products or the manufacturing processes of our third-party manufacturers and suppliers, including any failure to take satisfactory corrective action in response to an adverse regulatory inspection, can result in, among other things:</w:t>
      </w:r>
    </w:p>
    <w:p>
      <w:pPr>
        <w:spacing w:after="0" w:line="1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fines;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pending or future clearances, approvals or certifications for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suspension of regulatory clearances, approvals or certifications;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 of us or our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actions could prevent or delay us from marketing, distributing or selling our products and would likely harm our business. Furthermore, our suppliers may not currently be or may not continue to be in compliance with all applicable regulatory requirements, which could result in our failure to produce our products on a timely basis and in the required quantities, if at all.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governmental reimbursement reform and other healthcare cost containment proposals may affect our ability to sell our products profitably and could adversely affect our business results and operations and financial conditions.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proposed legislative or other regulatory reforms may be adopted in the future that could result in reductions in Medicare and other governmental healthcare funding, more rigorous coverage criteria, new payment methodologies or other downward pressure on the pricing or reimbursement we or our customers receive for our products. For example, the Medicare Physician Fee Schedule (“PFS”) Proposed Rule (CMS-1832-P) (“Proposed Rule”) for calendar year 2026, issued by the Centers for Medicare and Medicaid Services (“CMS”), to be effective January 1, 2026, could impact government price reporting requirements for Medicare Part B. Specifically, the Proposed Rule includes significant proposed changes to CMS’s definition of bona fide service fees (“BFSFs”) for purposes of average sales price (“ASP”) calculations, which is the metric used to determine reimbursement under Medicare Part B. Although primarily aimed at pharmaceuticals, the changes included in the Proposed Rule would impact all products reimbursed under Medicare Part B, including the Company’s HA viscosupplementation products.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final rule was published by CMS on October 31, 2025 (“Final Rule”). Several of the proposed requirements related to BFSFs were either not adopted or were modified by CMS in the Final Rule and the Company is presently working with its contracting partners to implement and comply with the new BFSF requirements or modify such contract to comply with the requirements of the Final Rule. The Final Rule has changed longstanding ASP calculation methodologies by, among other things, adding new requirements for supporting the fair market value of BFSFs and by requiring periodic recertifications of such fees by the Company as a condition of BFSF treatment. Long standing CMS regulations have permitted manufacturers to exclude BFSFs from ASP if the fee satisfied certain conditions. We are required to update our existing government pricing compliance and reporting processes to comply with these new requirements. Moreover, because many of our contracts with fees that fall within the expanded definition of BFSFs under the Final Rule, are with customers, such as wholesalers and pharmacy benefit managers, which are significantly larger than we are, we may not be able to restructure our contracts to fit our service fee payments within the new standards. If we are not successful in our efforts to renegotiate the applicable contracts to comply with the Final Rule within the limited time frame allotted or are otherwise required to include BFSF in our reported ASP for our HA products, or the more stringent requirements of the Proposed Rule are implemented in the future, the ASP and CMS reimbursement for our HA products may be reduced, which may adversely affect our operating results and financial condition.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reimbursement for our HA products may also be affected by executive orders issued by the current presidential administration in the United States relating to drug pricing, specifically “Delivering Most-Favored Nation Prescription Drug Pricing to American Patients” and “Lowering Drug Prices by Once Again Putting Americans First” (the “Executive Orders”) that set forth the administration’s policy goal of lowering pricing. Although the Executive Orders outline broad policy objectives and currently lack specific mandates, their apparent aim is to lower prices paid in the United States to more closely align with reimbursement levels provided by U.S. government-run health systems in other developed countries. To the extent the administration seeks to implement specific mandates or other cost control initiatives through action by the Department of Health and Human Services or other federal agencies, the reimbursement for our HA products may be negatively impacted. We cannot predict the extent to which this proposal, or similar reimbursement reform proposals or other healthcare cost containment measures that might be enacted in the future, may impact the demand or commercial success of our HA viscosupplements or any of our other products we currently sell or plan to commercialize.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 A recall of our products, either voluntarily or at the direction of the FDA or another governmental authority, or the discovery of serious safety issues with our products, could adversely affect us.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drugs, devices and similar products in the event of material deficiencies or defects in their design or manufacture. For example, the FDA’s authority to require a recall for medical devices must be based on a finding that there is reasonable probability that the device would cause serious injury or death. In addition, we have in the past and may in the future decide to voluntarily recall our products if certain deficiencies are found. For example, in December 2020 we undertook a voluntary Class II recall of certain vials of ultrasound gel that we provide with our EXOGEN Bone Stimulation System due to particulates, which were microbial in nature, found in the gel. The gel was manufactured by a third-party supplier, and we have discontinued the use of that suppliers’ gel and have replaced that gel with that of another manufacturer and notified patients to discard gel bottles from affected lots. A government-mandated or voluntary recall could occur as a result of an unacceptable risk to health, component failures, malfunctions, manufacturing errors, design or labeling defects or other deficiencies and issues. Recalls of any of our products would divert managerial and financial resources and could adversely affect our reputation and business, which could impair our ability to produce our products in a cost-effective and timely manner in order to meet our customers’ demands. We may also be subject to liability claims, be required to bear other costs, or take other actions that could adversely affect our business, results of operations and financial condition.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foreign regulatory authorities. We may initiate voluntary recalls or corrections for our products in the future that we determine do not require notification of the FDA or foreign regulatory authorities. If the FDA or foreign regulatory authorities disagree with our determinations, they could require us to report those actions as recalls and we may be subject to enforcement action.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 Data we generate may ultimately not be favorable, or could even hurt the commercial prospects for our products.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If the results of these clinical studies are negative, these results could reduce demand for our products and significantly reduce our ability to achieve expected net sales.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unwilling to collect sufficient long-term clinical data supporting the quality, safety and effectiveness of our existing products, our business, results of operations and financial condition could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conduct our clinical studies and to assist us with preclinical development, and if they fail to perform as contractually required or expected, we may not be able to obtain regulatory clearance, approval or certification to commercialize our products.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relied upon and may continue to rely upon third parties, such as contract research organizations (“CROs”), medical institutions, clinical investigators and contract laboratories to assist in conducting our clinical studies, which must be conducted in accordance with applicable regulations, including GCP and our preclinical development activities. We rely on these parties for execution of our studies, and control only certain aspects of their activities. Nevertheless, we are responsible for ensuring that each of our clinical studies is conducted in accordance with the applicable protocol, legal, regulatory, and scientific standards, and our reliance on these third parties does not relieve us of our regulatory responsibilities. GCPs are regulations and guidelines enforced by the FDA and other regulatory authorities for products in clinical development. Regulatory authorities enforce these GCPs through periodic inspections of trial sponsors, principal investigators, trial sites, and CROs. We cannot assure you that upon inspection by a given regulatory authority, such regulatory authority will determine that any of our clinical trials comply with GCP regulations. In addition, our clinical trials must be conducted with product produced under applicable manufacturing requirements.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these third parties fail to successfully carry out their contractual duties, comply with applicable regulatory obligations, including GCP requirements, or meet expected deadlines, or if these third parties must be replaced, or if the quality or accuracy of the data they obtain is compromised due to the failure to adhere to clinical protocols or applicable regulatory requirements or for other reasons, our pre-clinical development activities or clinical studies may be extended, delayed, suspended or terminated. Under these circumstances we may not be able to obtain regulatory clearance, approval or certification for, or successfully commercialize, our products on a timely basis, if at all, and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to do so on commercially reasonable terms. In addition, our third-party contractors are not our employees, and except for remedies available to us under our agreements with them, we cannot control whether or not they devote sufficient time and resources to our on-going clinical, non-clinical and preclinical programs. Switching or adding additional third-party contractors involves additional cost and requires management time and focus. In addition, there is a natural transition period when a new CRO or other third-party vendor commences work. As a result, delays occur, which can materially impact our ability to meet our desired development timelines. Though we carefully manage our relationships with our third-party vendors, including CROs, there can be no assurance that we will not encounter similar challenges or delays in the future or that these delays or challenges will not have a material adverse impact on our business, financial condition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regulatory reform may affect our ability to sell our products profitably and could adversely affect our business,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abroad, legislative and regulatory reforms could prevent or delay marketing approval or certification of our products in development, restrict or regulate post-approval or certification activities of our products and impact our ability to sell our products profitably. In the United States, legislation has been proposed and adopted at the federal and state level that is effecting major changes in the healthcare system. In addition, new regulations and interpretations of existing healthcare statutes and regulations are frequently adopted.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Affordable Care Act (“ACA”), for instance, substantially changed the way healthcare is financed by both governmental and private insurers, encourages improvements in the quality of healthcare items and services and significantly impacts the medical device industry. Among other things, the ACA:</w:t>
      </w:r>
    </w:p>
    <w:p>
      <w:pPr>
        <w:spacing w:after="0" w:line="1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methodology by which rebates owed by manufacturers under the Medicaid Drug Rebate Program are calculated for drugs that are inhaled, infused, instilled, implanted or injected;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manufacturers’ Medicaid rebate liability to individuals enrolled in Medicaid managed care organizations;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and identify priorities in comparative clinical effectiveness research in an effort to coordinate and develop such research;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and to reform the healthcare marketplace generally, and particularly with regard to cost containment. We cannot predict with certainty what impact any U.S. federal and state health reforms will have on us, but such changes could impose new and/or more stringent regulatory requirements on our activities or result in reduced reimbursement for our products, any of which could adversely affect our business, results of operations and financial condition. For instance, CMS implemented a 2.8% reduction in the relative value unit (“RVU”) conversion factor in 2025, in addition to a 1% specific cut in surgery RVUs. While such reductions do not directly lower the prices of our devices, they reduce the professional services fee received by the surgeon, and may impact such surgeon’s choice of devices.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executive orders discussed in this Annual Report, legislative and regulatory reforms and executive actions intended to reduce the costs of prescription drugs and medical devices are also ongoing in the United States and abroad. It is unclear what effect new quality and payment programs may have on our business, financial condition, results of operations or cash flows. These and other payment updates could directly impact the demand for our products or any products we may develop in the future, if cleared or approved.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containment of healthcare costs has been consistent across administrations, we expect that other healthcare reform measures that may be adopted in the future, by statute, regulation, and/or executive order, will result in additional reductions in Medicare and other healthcare funding, more rigorous coverage criteria, new payment methodologies and in additional downward pressure on the price that we receive for any cleared or approved products. Furthermore, we believe that many individuals who have obtained insurance coverage through the health insurance exchanges face significantly higher premiums with the expiration of the subsidies for such policies. Patients facing higher deductibles and overall costs may be discouraged from obtaining insurance in the first instance or from undergoing certain procedures. Any reluctance on the part of patients to undergo procedures utilizing our products due to cost could impact our ability to expand sales of our products and could adversely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relating to our healthcare business, and could face substantial penalties if we are determined not to have fully complied with such laws, which would adversely affect our business,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capacity as a pharmaceutical and medical device manufacturer, as a supplier of covered items and services to federal healthcare program beneficiaries, and with respect to items and services for which we submit claims for reimbursement from such programs, we are subject to healthcare fraud, waste and abuse regulation and enforcement by federal, state and foreign governments, which could adversely impact our business, results of operations and financial condition. Healthcare fraud and abuse and health information privacy and security laws potentially applicable to our operations include:</w:t>
      </w:r>
    </w:p>
    <w:p>
      <w:pPr>
        <w:spacing w:after="0" w:line="18" w:lineRule="exact"/>
        <w:rPr>
          <w:sz w:val="20"/>
          <w:szCs w:val="20"/>
          <w:color w:val="auto"/>
        </w:rPr>
      </w:pPr>
    </w:p>
    <w:p>
      <w:pPr>
        <w:jc w:val="both"/>
        <w:ind w:left="660" w:hanging="328"/>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(“AKS”),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Penalties for violating the AKS include civil penalties of up to $127,973 per violation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three times the amount of the improper remuneration, criminal penalties up to $100,000 per violation, prison terms of up to ten years, and exclusion from participation in the federal healthcare programs. Under the Civil Monetary Penalties statute, physicians who pay or accept kickbacks also face penalties of up to $50,000 per kickback plus three times the amount of the prohibited remuneration;</w:t>
      </w:r>
    </w:p>
    <w:p>
      <w:pPr>
        <w:spacing w:after="0" w:line="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the Stark Law, which, subject to certain enumerated statutory and regulatory exceptions, prohibits physicians from referring Medicare or Medicaid patients to an entity for the provision of certain designated health services, or “DHS”, which includes both prescription drugs and medical devices, if the physician or a member of such physician’s immediate family has a direct or indirect financial relationship (including an ownership interest or a compensation arrangement) with the entity, and prohibits the entity from billing Medicare or Medicaid for such DHS. In addition to reimbursing the government any associated overpayment, violations of the Stark Law can lead to: (1) civil penalties of nearly $31,670 per claim (in 2025, adjusted annually for inflation); (2) three times the amount of damages suffered by the government; and (3) potential exclusion from participation in federal healthcare programs;</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or “FCA”, which imposes civil and criminal liability on individuals or entities that knowingly submit false or fraudulent claims for payment to the government or knowingly make, or cause to be made, a false statement in order to have a false claim paid, including qui tam or whistleblower suits. Penalties for a violation of the FCA include fines up to $29,363 for each false claim, plus up to three times the amount of damages caused by each false claim. In addition, the government may assert that a claim including items or services resulting from a violation of the AKS or Stark Law constitutes a false or fraudulent claim for purposes of the FCA;</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inducement provisions of the Civil Monetary Penalties Law, which prohibit an individual or entity from offering remuneration to a federal healthcare program beneficiary that the individual or entity knows or should know is likely to influence the beneficiary to order or receive healthcare items or services from a particular provider. Violations of the CMPL may result in CMPs of $25,663 and in administrative penalties ranging up to $100,000 per violation depending on the conduct involved;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Health Insurance Portability and Accountability Act, or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AKS, a person or entity does not need to have actual knowledge of the statute or specific intent to violate it to have committed a violation;</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group purchasing organizations, to report annually ownership and investment interests held by such physicians and their immediate family members. Civil monetary penalties of up to $1,000,000 as adjusted annually may be imposed on reporting entities if they fail to report information in a timely, accurate or complete manner;</w:t>
      </w:r>
    </w:p>
    <w:p>
      <w:pPr>
        <w:spacing w:after="0" w:line="2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requirements imposed by HIPAA, including the Privacy Rule, the Security Rule, and the Breach Notification Rule promulgated pursuant to HIPAA;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 of us being found in violation of these laws and regulations is increased by the fact that many of them have not been fully interpreted by the regulatory authorities or the courts, and their provisions are open to a variety of interpretations. We are unable to predict what additional federal, state or foreign legislation or regulatory initiatives may be enacted in the future regarding our business or the healthcare industry in general, or what effect such legislation or regulations may have on us. Federal, state or foreign governments may impose additional restrictions or adopt interpretations of existing laws that could adversely affect us.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some of our business activities, including certain sales and marketing practices and financial arrangements with physicians and other healthcare providers, some of whom recommend, use, prescribe or purchase our products, and other customers, could be subject to challenge under one or more of such laws.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substantial penalties, including administrative, civil and criminal penalties, damages, fines, additional reporting requirements and oversight if we become subject to a Corporate Integrity Agreement or similar agreement to resolve allegations of non-compliance with these laws, exclusion from governmental healthcare programs, disgorgement and related overpayment obligations, contractual damages, reputational harm, diminished profits and future earnings, and the curtailment or restructuring of our operations, any of which could adversely impact our business, results of operations and financial condition.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we identified non-compliance with certain U.S. federal statutes and requirements governing the Medicare program in related to improper completion of Certificate for Medical Necessity (“CMN”) forms. In November 2018, we made a voluntary self-disclosure related to this matter to the OIG pursuant to the OIG’s Provider Self-Disclosure Protocol. After settlement discussions with the Office of the United States Attorney in the Middle District of North Carolina (“USAO”) and OIG, on February 22, 2021, we entered into a formal settlement agreement, which included releases from associated False Claims Act liability and further Civil Monetary Penalties that are customary in self-disclosures of this type, and agreed to pay $3.6 million in resolution of this matter.</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privacy and data security, including, in the United States, HIPAA and, in the EU, the GDPR. New privacy laws and regulations are being enacted in the United States, particularly at the state level, and globally, and existing ones are being updated and strengthened. Complying with these numerous, complex, and often changing regulations is expensive and difficult. We strive to comply with all applicable laws and other legal obligations relating to privacy, data security, and data protection. However, given that the scope, interpretation, and application of these laws and regulations are often uncertain and may be conflicting, it is possible that these obligations may be interpreted and applied in a manner that is inconsistent from one jurisdiction to another and/or in a manner that conflicts with our practices. Failure or perceived failure by us or our vendors or service providers to comply with any privacy, data security, or data protection laws or other obligations, or any security incident or data breach experienced by us, one of our vendors service providers, or another party, could adversely affect our business. Such impacts include but are not limited to: investigation costs, legal fees, fines and penalties; compensatory, special, punitive, and statutory damages; enforcement actions; litigation; reputational damage; consent orders regarding our privacy and security practices; requirements that we provide consumer notices, credit monitoring services, and/or credit restoration services or other relevant services to individuals impacted by a data breach; adverse actions against our licenses to do business; and injunctive relief.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HIPAA, as amended, and regulations implemented thereunder (collectively referred to as “HIPAA”) imposes, among other things, certain standards relating to the privacy and security of protected health information (“PHI”) on certain healthcare providers, health plans, and healthcare clearinghouses, known as covered entities, as well as their business associates that perform certain services that generally involve creating, receiving, maintaining or transmitting PHI for or on behalf of such covered entities, and their covered subcontractors. HIPAA requires covered entities, such as us, as well as business associates, to develop and maintain administrative, physical and technical safeguards to protect PHI. HHS recently proposed updates to the HIPAA Security Rule. This development could pose compliance challenges for us.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under the HIPAA Breach Notification Rule, covered entities must report breaches of unsecured PHI to affected individuals without unreasonable delay, not to exceed 60 days following discovery of the breach or, if earlier, the date on which the breach would have been discovered through the exercise of reasonable diligence. Notification also must be made to the U.S. Department of Health and Human Services Office for Civil Rights and, in certain circumstances, to the media. Business associates must report breaches of unsecured PHI to covered entities within 60 days of discovery of the breach by the business associate or its agents or, if earlier, the date on which the breach would have been discovered through the exercise of reasonable diligence. All U.S. states, the District of Columbia, Guam, Puerto Rico, and the U.S. Virgin Islands have enacted data breach notification laws. Some of these breach notification laws impose notification obligations that are in addition to, or inconsistent with, the HIPAA Breach Notification Rule, which can present compliance challenges.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Entities that are found to be in violation of HIPAA, which may occur in connection with, among other things,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The HHS Office for Civil Rights actively enforces HIPAA and frequently issues significant fines and penalties. HIPAA also authorizes state Attorneys General to file suit on behalf of residents of their states.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states have adopted various privacy and security laws and regulations, some of which may be more stringent than HIPAA. Such laws and regulations will be subject to interpretation by various courts and other governmental authorities, thus creating potentially complex compliance issues for us and our customers and strategic partners. For example, the California Consumer Privacy Act (“CCPA”), as amended by the California Privacy Rights Act (“CPRA”), creates individual privacy rights for California residents and imposes additional privacy and security obligations on covered businesses, including data use limitations and audit requirements. The CCPA provides for civil penalties for violations, as well as a private right of action for data breaches. The CPRA created the California Privacy Protection Agency, which is authorized to issue substantive regulations and enforce law. Additional states, including Colorado, Connecticut, Delaware, Florida, Indiana, Iowa, Kentucky, Maryland, Minnesota, Montana, Nebraska, New Hampshire, New Jersey, Oregon, Rhode Island, Tennessee, Texas, Utah, and Virginia have enacted similar comprehensive privacy laws. Other states, including Nevada and Washington, enacted robust health privacy laws. Legislation has been proposed in other states and at the federal level, reflecting a trend toward more stringent privacy legislation in the United States. These developments are likely to result in increased privacy and data security enforcement. Additional compliance investment and potential business process changes may be required, and the enactment of new laws could have potentially conflicting requirements that would make compliance challenging and burdensome.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Trade Commission (“FTC”) and many state Attorneys General also continue to enforce federal and state consumer protection laws against companies for online collection, use, dissemination, and security practices, including based on allegations that companies are engaged in unfair or deceptive trade practices.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 addition to enforcing against organizations, the FTC has made clear that it may seek to hold officers personally liable for privacy or security violations of their organizations, having done so in the past.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Europe, the GDPR imposes strict requirements for processing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in 2021 to account for the decision of the CJEU and recommendations made by the European Data Protection Board (“EDPB”). The United States and the EU agreed to a new data transfer mechanism to replace the Privacy Shield known as the EU-U.S. Data Privacy Framework, which has been subject to legal challenges. In addition to the GDPR, EU member states impose additional, and sometimes inconsistent, data protection requirements. As supervisory authorities issue further guidance on personal data export mechanisms, including circumstances where the SCCs cannot be used, and take additional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impose challenges associated with the geographical location or segregation of our relevant systems and operations, and adversely affect our financial results.</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following the United Kingdom’s departure from the EU, we have also had to comply with the UK GDPR (i.e., the GDPR as implemented into UK law). Failure to comply with the UK GDPR can result in fines up to the greater of £17.5 million, or 4% of global revenue.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and laws associated with our activities outside the United States could adversely affect our business, results of operations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FCPA and other anti-bribery legislation around the world.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among other things, to prevent the diversion of corporate funds to the payment of bribes and other improper payments, and to prevent the establishment of “off books” slush funds from which such improper payments can be made. As we conduct our business in jurisdictions outside of the United States, we face significant risks if we fail to comply with the FCPA and other laws that prohibit improper payments, offers or promises of payment by us and other business entities for the purpose of improperly obtaining or retaining business or other advantages. In many foreign countries, it may be a local custom that businesses operating in such countries engage in business practices that are prohibited by the FCPA or other laws and regulations. Although we have implemented a company policy requiring our employees and consultants to comply with the FCPA and similar laws, such policy may not be effective at preventing all potential FCPA or other violations. Although our agreements with our international distributors clearly state our expectations for our distributors’ compliance with U.S. and local laws, including the FCPA, and provide us with various remedies upon any non-compliance, including the ability to terminate the agreement, we also cannot guarantee our distributors’ compliance with U.S. laws, including the FCPA. Therefore, there can be no assurance that our employees and agents, or those companies to which we outsource certain of our business operations, have not and will not take actions that violate our policies or applicable laws, for which we may be ultimately held responsible. Any violation of the FCPA, other anti-bribery legislation, including the UK Bribery Act and the Brazil Clean Company Act, or related policies could result in severe criminal or civil sanctions, which could adversely affect our business, results of operations and financial condition.</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are subject to the export controls and economic embargo rules and regulations of the United States, including, but not limited to, export controls including the Export Administration Regulations administered by the Department of Commerce, anti-boycott regulations administered by the Departments of Treasury and Department of Commerce, and trade sanctions against embargoed countries and persons administered by the Office of Foreign Assets Control within the Department of the Treasury, the Department of Commerce and the Department of State. These regulations, which have increasingly been, and are expected to continue to be, subject to frequent changes, limit our ability to market, sell, distribute or otherwise transfer our products or technology to prohibited countries or persons, or for prohibited end-uses. A determination that we have failed to comply, whether knowingly or inadvertently, may result in substantial penalties, including fines, enforcement actions, civil and/or criminal sanctions, the disgorgement of profits, the imposition of a court-appointed monitor, as well as the denial of export privileges, and may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Medicare accreditation and surety bond requirements or DMEPOS supplier standards, it could adversely affect our business, results of operations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EXOGEN Bone Stimulation System is classified by CMS and third-party payers as durable medical equipment. Suppliers of Medicare DMEPOS must be accredited by an approved accreditation organization as meeting DMEPOS quality standards adopted by CMS and are required to meet surety bond requirements. In addition, Medicare DMEPOS suppliers must comply with Medicare supplier standards in order to obtain and retain billing privileges, including meeting all applicable federal and state licensure and regulatory requirements. CMS periodically expands or otherwise clarifies the Medicare DMEPOS supplier standards, and states periodically change licensure requirements, including licensure rules imposing more stringent requirements on out-of-state DMEPOS suppliers. We believe we are currently in compliance with these requirements. If we fail to maintain our Medicare accreditation status and/or do not comply with Medicare surety bond or supplier standard requirements or state licensure requirements in the future, or if these requirements are changed or expanded, it could adversely affect our business, results of operations and financial condition.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of hazardous and toxic materials, and we must comply with environmental, health and safety laws and regulations, which can be expensive, and could adversely affect our business, results of operations and financial condition.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regulations relating to the protection of the environment or of human health and safety, including laws pertaining to the use, handling, storage, disposal and human exposure to hazardous and toxic materials. Liability under environmental laws can be imposed on a joint and several basis (which could result in an entity paying more than its fair share) and without regard to comparative fault, and environmental laws are likely to become more stringent over time, imposing greater compliance costs and increasing risks and penalties associated with violations, which could adversely affect our business, results of operations and financial condition.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distributors, independent contractors, suppliers and other third parties may engage in misconduct or other improper activities, including noncompliance with regulatory standards and requirements, which could expose us to liability and hurt our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distributors, independent contractors, suppliers and others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billing, and claims information or data. Activities subject to these laws also involve the improper use or misrepresentation of information obtained in the course of clinical trials, creating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business, results of operations and financial condition.</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reforms, such as the EU Medical Devices Regulation, could limit our ability to market and distribute our products after clearance, approval or certification is obtained and make it more difficult or costly for us to obtain regulatory clearance, approval or certification of any future products, which could adversely affect our competitive position and materially affect our business and financial results.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Medical Devices Regulation, which became effective in May 2021, was adopted with the aim of ensuring better protection of public health and patient safety. Among other things, the EU Medical Devices Regulation (“MDR”) imposed changes in the clinical evidence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able to continue marketing our currently CE-marked products in Europe after the effective date of the EU MDR until the associated CE mark certificates expire, securing renewals of our existing CE mark certificates to allow for continued marketing of the product after CE mark expiration or obtaining certifications for new products requires the performance of certain conformity assessment procedures by a notified body. Notified bodies are independent organizations designated by EU member states which are responsible for, among other things, auditing and examining a product’s technical dossiers and the manufacturers’ quality system. If satisfied that the relevant product conforms to the relevant essential requirements, the notified body issues a certificate of conformity, which allows the manufacturer to place the CE mark on the device and for it to be marketed throughout the EU. Given the additional requirements of the MDR, the renewal of our existing CE mark certificates once they expire or obtaining certifications for new products is more challenging, time consuming and costly.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technical documentation for certain of our products requiring recertification, such as our single injection HA treatment Durolane, and EXOGEN Bone Stimulation System have been submitted to our notified body. While Durolane recently received EU MDR certification, we are actively engaged with our notified body to renew the CE marks for these and our other products. The inability to timely review and obtain CE mark certificates for these and other of our products could prohibit their distribution and marketing in EU member states, which would adversely affect our business, prospects, financial condition and results of operations.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environmental, social and governance (“ESG”) regulations or stakeholder requirements which may negatively impact our business or adversely affect our relationship with customers.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Globally, companies are facing increasing requirements to disclose information about social and environmental risks and increasing pressure to improve performance on aspects of sustainability, such as climate impact and product environmental performance, which go beyond currently enacted legislative or regulatory mandates. Several of our customers are adopting, or may adopt in the future, sustainability policies that influence how they make purchasing decisions. Due to the complex nature of our supply chain, we may not always have direct influence over our ability to meet new customer sustainability expectations or policies, which may harm our customer relationships and reputation and may result in an impact on our revenue. Further, new and emerging ESG reporting and disclosure requirements may be unpredictable and expensive to comply with. Our ability to meet stakeholder ESG expectations may not keep up with industry peers which may negatively impact our ability to attract and retain talent.</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environmental regulatory actions regarding medical device sterilization facilities could result in disruptions in the supply of certain of our products and could adversely affect our business, results of operations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disposable products that are used with our neXus Ultrasonic Surgical Aspirator System require sterilization using ethylene oxide prior to sale. Ethylene oxide sterilization is a common and scientifically proven sterilization method that is widely used in the medical device industry. We contract with third-party sterilizers to perform this service. Concerns about unsafe levels of ethylene oxide emissions in the air around some sterilization facilities have resulted in certain state environmental protection agency actions against those facilities that have impacted available capacity for medical device manufacturers to sterilize their devices. For example, in past years, the operations of certain of our contracted sterilization providers were temporarily suspended by the supplier as a voluntary response to a state environmental agency investigation. While such actions have not disrupted our ability to supply products and the previously shut down facilities have been permitted to resume operations after implementation of increased emissions controls, it is uncertain as to whether these facilities will be shut down or experience capacity reductions related to environmental, health and safety concerns. It is unknown whether any other sterilization facilities with which contract in the future will experience reduced capacity related to new regulatory requirements or will be required to shut down, either temporarily related to upgrading emissions controls or permanently due to inability to comply with the new environmental regulations. To the extent that our third-party sterilizers are unable to sterilize our products, whether due to these regulatory or other limitations (such as capacity, reductions in operations, or availability of materials for sterilization), we may be unable to transition to other third-party sterilizers, sterilizer locations or sterilization methods in a timely or cost effective manner, or at all, which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Matters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Protection of our intellectual property rights may be difficult and costly, and our inability to protect our intellectual property could adversely affect our competitive position.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proprietary rights to the technologies and inventions used in, or embodied by, our products. To protect our proprietary technology, we rely on patent protection, copyright, trade secret and trademark laws, and nondisclosure, confidentiality and other contractual restrictions in our consulting, employment, and other agreements. These legal means afford only limited protection, however, and may not adequately protect our rights or permit us to gain or keep any competitive advantage. Our existing confidentiality and/or invention assignment agreements with employees, contractors, and others who participate in IP development activities could be breached, or we may not enter into sufficient and adequate agreements with those individuals in the first instance, and we may not have adequate remedies for such breaches. Furthermore, we may be subject to, and forced to defend against third-party claims of ownership to our intellectual property. If we fail in defending any such claims, in addition to paying monetary damages, we may lose valuable intellectual property rights, such as exclusive ownership of, or rights to use, valuable intellectual property. Such an outcome could adversely affect our business, results of operations and financial condition. Even if we are successful in defending against such claims, litigation could result in substantial costs and be a distraction to management and other employees.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process of applying for patent protection is time-consuming and expensive and we cannot assure you that all of our patent applications will be issued as patents or that, if issued, they will issue in a form that will be advantageous to us. The rights granted to us under our patents may not be meaningful or provide us with any commercial advantage, and they could be opposed, contested, narrowed, or circumvented by our competitors or declared invalid or unenforceable in judicial or administrative proceedings.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but where such protection may not be sufficient to terminate infringing activities. Furthermore, we may not have the right to control the preparation, filing and prosecution of patent applications, or to maintain the rights to patents licensed to us by third parties. Therefore, these patents and applications may not be prosecuted or enforced in a manner consistent with the best interests of our business. If such licensors fail to maintain such patents, or lose rights to those patents, the rights we have licensed may be reduced or eliminated, which could also adversely affect our business, results of operations and financial condition.</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granted to us under these patents, including prospective rights sought in our pending patent applications, could be opposed, contested or circumvented by our competitors or other third parties or declared invalid or unenforceable in judicial or administrative proceedings. If any of our patents are challenged, invalidated or legally circumvented by third parties, and if we do not own other enforceable patents protecting our products, competitors could market products and use processes that are substantially similar to, superior to, or otherwise competitive with those of ours, and our business could suffer. In addition, the patents we own or have licenses to may not be of sufficient scope or strength to provide us with any meaningful protection or commercial advantage, and competitors may be able to design around our patents or develop products that provide outcomes comparable to those of ours without infringing on our patent property rights.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our patents may not be drafted or interpreted sufficiently broadly to prevent others from marketing products and services similar to ours or designing around our patents. Third parties may assert that we or the inventors of any patents licensed to us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eighteen months after the filing of certain priority documents (or, in some cases, are not published until they issue as patents) and because publications in the scientific literature often lag behind actual discoveries, we cannot be certain that others have not filed patent applications or published information which could invalidate our patents or a portion of the claims of our patents. Any such patent applications may have priority over our patent applications or issued patents, which could require us to obtain rights from third parties to issued patents or pending patent applications covering such technologies to allow us to commercialize our technology. If another party has filed a U.S. patent application on inventions similar to ours, depending on when the timing of the filing date falls under certain patent laws, we may have to participate in a priority contest (such as an interference proceeding) declared by the USPTO to determine priority of invention in the United States. Further, we may not develop additional proprietary technologies and, even if we do, they may not be patentable.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We may be subject to a third-party preissuance submission of prior art to the USPTO, or become involved in opposition, derivation, reexamination, inter partes review, post-grant review or other patent office proceedings or litigation, in the United States or elsewhere, challenging our patent rights.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In some cases, noncompliance with such requirements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the owners of any patent rights licensed to us fail to maintain the patents and patent applications covering our products or procedures, we may not be able to stop a competitor from marketing products that are the same as or similar to our products, which would adversely affect our business, results of operations and financial condition.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do not have patent rights in certain foreign countries in which a market may exist in the future. We may need to expend additional resources to protect or defend our intellectual property rights in these countries, and the inability to protect or defend the same could impair our brand or adversely affect the growth of our business internationally. For example, we may not be able to stop a competitor from marketing and selling in foreign countries products that are the same as, similar to, or competitive with our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have a limited lifespan, and the protection patents affords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as one means to distinguish our products from the products of our competitors, and have registered or applied to register many of these trademarks. However, we may not be able to successfully secure trademark registrations for all such applications in each jurisdiction in which the product is marketed. Third parties may oppose our trademark applications, or otherwise challenge our use of both registered and unregistered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Over the long term, if we are unable to establish name recognition based on our trademarks, then we may not be able to compete effectively and our business, results of operations and financial condition may be adversely affected.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 and Know-How</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other trade secrets by consultants, vendors, former employees or current employees, despite the existence generally of confidentiality agreements and other contractual restrictions. Monitoring unauthorized uses and disclosures of our intellectual property is difficult, and we do not know whether the steps we have taken to protect our intellectual property will be effective. Moreover, our competitors may independently develop equivalent knowledge, methods or know-how.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Our competitors could use any of the information we may be required to disclose by the FDA to develop independently technology similar to ours.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the scope of our intellectual property rights. If our intellectual property is not adequately protected so as to protect our market against competitors’ products and methods, our competitive position could be adversely affected, as could our business, results of operations and financial condition. If we were to enforce a claim that a third party had illegally obtained, misappropriated or was using our trade secrets, it would be expensive and time consuming, and the outcome would be unpredictable. In addition, courts outside the United States may be less willing to protect trade secrets. If any of the technology or information that we protect as trade secrets were to be independently developed by a competitor, we would have no right to prevent them from using that technology or information to compete with us. Misappropriation or unauthorized disclosure of our trade secrets could impair our competitive position and may adversely affect our business, results of operations and financial condition. Additionally, if the steps taken to maintain our trade secrets are deemed inadequate, we may have insufficient recourse against third parties for misappropriating the trade secret.</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which could adversely impact our business, results of operations and financial condition.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party to license agreements under which we are granted rights to intellectual property that is material to our business, and we may need to enter into additional license agreements in the future. Our rights to use these technologies and the inventions claimed in the licensed patents are subject to the continuation of and our compliance with the terms of those licenses. Our existing license agreements impose, and we expect that future license agreements will impose on us, various diligence obligations, payment of milestones or royalties and other obligations. If we fail to comply with our obligations under these agreements, or we are subject to a bankruptcy, the licensor may have the right to terminate the license, in which case we would not be able to market products covered by the license, which would adversely affect our business, results of operations and financial condition.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have done previously, we may need to obtain licenses from third parties to advance our research or allow commercialization of our products and technologies. We may fail to obtain any of these licenses on commercially reasonable terms, if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or our attorneys, and we did not control or have any input into the prosecution of these patents and patent applications prior to our acquisition of, or our entry into a license with respect to, such patents and patent applications. We cannot be certain that the drafting or prosecution of the patents and patent applications licensed to us will result or has resulted in valid and enforceable patents. Further, we do not always retain complete control over our ability to enforce our licensed patent rights against third-party infringement. In those cases, we cannot be certain that our licensor or other ultimate owner of such patents will elect to enforce these patents to the extent that we would choose to do so, or in a way that will ensure that we retain the rights we currently have under our license. If our licensor or other ultimate owners of such patents fails to properly enforce the patents subject to our license in the event of third-party infringement, our ability to retain our competitive advantage with respect to our products may be materially and adversely affected.</w:t>
      </w:r>
    </w:p>
    <w:p>
      <w:pPr>
        <w:spacing w:after="0" w:line="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w:t>
      </w:r>
    </w:p>
    <w:p>
      <w:pPr>
        <w:spacing w:after="0" w:line="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license agreement;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technologies,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the affected products and technologies.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adversely affect our business, results of operations and financial condition.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a party to patent and other intellectual property litigation and administrative proceedings that could be costly and could interfere with our ability to successfully market our products.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medical device industry has been characterized by frequent and extensive intellectual property litigation and is highly competitive. Our competitors or other patent holders may assert that our products and/or the methods employed in our products are covered by their patents or that we are infringing, misappropriating, or misusing their trademark, copyright, trade secret, and/or other proprietary rights.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products or methods are found to infringe, we could be prevented from manufacturing or marketing our products. In the event that we become involved in such a dispute, we may incur significant costs and expenses and may need to devote resources to resolving any claims, which would reduce the cash we have available for operations and may be distracting to management and other employees, including those involved in the development of intellectual property. We do not know whether our competitors or potential competitors have applied for, will apply for, or will obtain patents that will prevent, limit or interfere with our ability to make, use, sell, import or export our products. Because patent applications can take many years to issue, third parties may have currently pending patent applications which may later result in issued patents that our products and technologies may infringe, or which such third parties claim are infringed by the use of our products or technologies. There is no guarantee that patents will not be issued in the future from currently pending applications that may be infringed by our technology or products. In addition, identification of third-party patent rights that may be relevant to our technology is difficult because patent searching is imperfect due to differences in terminology among patents, incomplete databases, and difficulty in assessing the meaning of patent claims. We cannot assure you that we will prevail in such actions, or that other actions alleging misappropriation or misuse by us of third-party trade secrets or infringement by us of third-party patents, copyrights, trademarks or other rights or challenging the validity of our patents, copyrights, trademarks or other rights will not be asserted against us.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initiate litigation against third parties to enforce our patent and proprietary rights or to determine the scope, enforceability or validity of the proprietary rights of others. Our intellectual property has not been tested in litigation. If we initiate litigation to protect our rights, we run the risk of having our patents and other proprietary rights invalidated, canceled or narrowed, which could undermine our competitive position. Further, if the scope of protection provided by our patents or patent applications or other proprietary rights is threatened or reduced as a result of litigation, it could discourage third parties from entering into collaborations with us that are important to the commercialization of our products.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subject to ownership disputes relating to intellectual property, including disputes arising from conflicting obligations of consultants or others who are involved in developing our product. Furthermore, 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results of operations and financial condition. Any such claim could also force use to do one or more of the following:</w:t>
      </w:r>
    </w:p>
    <w:p>
      <w:pPr>
        <w:spacing w:after="0" w:line="14" w:lineRule="exact"/>
        <w:rPr>
          <w:sz w:val="20"/>
          <w:szCs w:val="20"/>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monetary liability for infringement or other violations of intellectual property rights, which we may have to pay if a court decides that the product, service, or technology at issue infringes or violates the third-party’s rights, and if the court finds that the infringement was willful, we could be ordered to pay treble damages and the third-party’s attorneys’ fees;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use or replace infringing technology with non-infringing technology;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services, and technology so they do not infringe or violate the third-party’s intellectual property rights, which may not be possible or may require substantial monetary expenditures and time;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cross-licenses with our competitors, which could weaken our overall intellectual property position;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alternative suppliers for non-infringing products and technologies, which could be costly and create significant delay;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rights associated with one or more of our patent claims, if our claims are held invalid or otherwise unenforceable.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In addition, intellectual property litigation, regardless of its outcome, may cause negative publicity, adversely impact prospective customers, cause product shipment delays, divert the time, attention and resources of management, or prohibit us from manufacturing, marketing or otherwise commercializing our products, services and technology. Any uncertainties resulting from the initiation and continuation of any litigation could adversely affect our ability to raise additional funds or otherwise adversely affect our business, results of operations and financial condition.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these results are perceived to be negative, the price of our Class A common stock could be adversely affected.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of our agreements with suppliers, distributors, customers and other entities with whom we do business may require us to defend or indemnify these parties to the extent they become involved in infringement claims relating to our technologies or products, or rights licensed to them by us. If we are required or agree to defend or indemnify any of these third parties in connection with any infringement claims, we could incur significant costs and expenses that could adversely affect our business, results of operation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former employers or are in breach of non-competition or non-solicitation agreements with our competitors or former employers.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In addition, we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competitors or former employers. An inability to incorporate technologies or features that are important or essential to our products could adversely affect our business, results of operations and financial condition, and may prevent us from selling our products. In addition, we may lose valuable intellectual property rights or personnel. Any litigation or the threat thereof may adversely affect our ability to hire employees or contract with independent sales representatives. A loss of key personnel or their work product could hamper or prevent our ability to commercialize our products, which could adversely affect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that we develop as biologics subject to the BLA pathway may be subject to competition sooner than anticipated.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third-party has intellectual property rights that cover the practice of our technology, we may not be able to fully exercise or extract value from our intellectual property rights.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examples are illustrative:</w:t>
      </w:r>
    </w:p>
    <w:p>
      <w:pPr>
        <w:spacing w:after="0" w:line="63" w:lineRule="exact"/>
        <w:rPr>
          <w:sz w:val="20"/>
          <w:szCs w:val="20"/>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inventors of any in-licensed patent rights, or any future strategic partners might not have been the first to conceive or reduce to practice the inventions covered by the issued patent or pending patent application that we own or have exclusively licensed;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filing party(ies) of any in-licensed patent rights, or any future strategic partners might not have been the first to file patent applications covering certain of our inventions;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lead to issued patents;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exclusively license may not provide us with any competitive advantage, or may be held invalid or unenforceable, as a result of legal challenges by our competitors;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products or technologies could use the intellectual property of others without obtaining a proper license;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adversely affect our business, results of operations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 and the Tax Receivable Agreement</w:t>
      </w:r>
    </w:p>
    <w:p>
      <w:pPr>
        <w:spacing w:after="0" w:line="1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BV LLC, and, accordingly, we depend on distributions from BV LLC to pay our taxes and expenses, including payments under the Tax Receivable Agreement. BV LLC’s ability to make such distributions may be subject to various limitations and restrictions.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of BV LLC. As such, we have no independent means of generating net sales or cash flow, and our ability to pay our taxes and operating expenses or declare and pay dividends in the future, if any, will be dependent upon the financial results and cash flows of BV LLC and its subsidiaries and distributions we receive from BV LLC. There can be no assurance that BV LLC and its subsidiaries will generate sufficient cash flow to distribute funds to us or that applicable state law and contractual restrictions, including negative covenants in our debt instruments, will permit such distributions.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BV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BV LLC. Under the terms of the Bioventus LLC Agreement, BV LLC will be obligated to make tax distributions to holders of LLC Interests, including us, subject to any limitations or restrictions in our debt arrangements. In addition to tax expenses, we will also incur expenses related to our operations, including payments under the TRA, which we expect could be significant. See </w:t>
      </w:r>
      <w:r>
        <w:rPr>
          <w:rFonts w:ascii="Times New Roman" w:cs="Times New Roman" w:eastAsia="Times New Roman" w:hAnsi="Times New Roman"/>
          <w:sz w:val="18"/>
          <w:szCs w:val="18"/>
          <w:i w:val="1"/>
          <w:iCs w:val="1"/>
          <w:color w:val="auto"/>
        </w:rPr>
        <w:t>Part III, Item 13.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Relationships and Related Transactions, and Director Independence-Tax Receivable Agreement </w:t>
      </w:r>
      <w:r>
        <w:rPr>
          <w:rFonts w:ascii="Times New Roman" w:cs="Times New Roman" w:eastAsia="Times New Roman" w:hAnsi="Times New Roman"/>
          <w:sz w:val="18"/>
          <w:szCs w:val="18"/>
          <w:color w:val="auto"/>
        </w:rPr>
        <w:t>in this Annual Report for further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its managing member, to cause BV LLC to make cash distributions to the owners of LLC Interests, including us, in an amount sufficient to (i) fund their or our tax obligations in respect of allocations of taxable income from BV LLC and (ii) cover our operating expenses, including payments under the TRA. However, BV LLC’s ability to make such distributions may be subject to various limitations and restrictions, such as restrictions on distributions that would either violate any contract or agreement to which BV LLC is then a party, including debt agreements, or any applicable law, or that would have the effect of rendering BV LLC insolvent. 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BV LLC does not have sufficient funds to make distributions, our ability to declare and pay cash dividends will also be restricted or impaired.</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 with the Continuing LLC Owner requires us to make cash payments to it in respect of certain tax benefits to which we are or may become entitled, and we expect that the payments we will be required to make could be significant.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party to a TRA with the Continuing LLC Owner.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timely payments under the TRA for any reason, the unpaid amounts will be deferred and will accrue interest until paid by us. Furthermore, our obligation to make payments under the TRA could make us a less attractive target for an acquisition, particularly in the case of an acquirer that cannot use some or all of the tax benefits that are the subject of the TRA.</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under the TRA are not conditioned on the Continuing LLC Owner’s continued ownership of LLC Interests or our Class A common stock. The amounts we will be required to pay under the TRA will depend on, among other things, the timing of subsequent redemptions or exchanges of LLC Interests by the Continuing LLC Owner, the price of our shares of Class A common stock at the time of each such redemption or exchange, and the amounts and timing of our future taxable income, and may be significantly different from the amounts described in the preceding sentence. Additionally, in certain cases such payments may be accelerated or significantly exceed the actual benefits we realize. Moreover, our organizational structure, including the TRA, confers certain tax benefits upon the Continuing LLC Owner that may not benefit the holders of our Class A common stock to the same extent as they will benefit the Continuing LLC Owner. Refer to risk factor—</w:t>
      </w:r>
      <w:r>
        <w:rPr>
          <w:rFonts w:ascii="Times New Roman" w:cs="Times New Roman" w:eastAsia="Times New Roman" w:hAnsi="Times New Roman"/>
          <w:sz w:val="18"/>
          <w:szCs w:val="18"/>
          <w:i w:val="1"/>
          <w:iCs w:val="1"/>
          <w:color w:val="auto"/>
        </w:rPr>
        <w:t>In certain cases, payments under the TRA to the Continuing LLC Owners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accelerated or significantly exceed the actual benefits we realize in respect of tax attributes subject to the TRA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TRA to the Continuing LLC Owner may be accelerated or significantly exceed the actual benefits we realize in respect of the tax attributes subject to the TRA.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 provides that if (i) we materially breach any of our material obligations under the TRA, (ii) we undertake certain mergers, assets sales, other forms of business combinations or other changes of control or (iii) we elect an early termination of the TRA, then our obligations or our successor’s obligations under the TRA to make payments thereunder would be based on certain assumptions, including an assumption that we would have sufficient taxable income to fully utilize all potential future tax benefits that are subject to the TRA (or, in the case of certain mergers, assets sales, other forms of business combinations or other charges of control, that we would have taxable income at least equal to four times the highest taxable income in any of the four fiscal quarters ending prior to the closing date of such transaction (increased by 10% for each taxable year beginning with the second taxable year following the closing date)). As a result of the foregoing, (i) we could be required to make payments under the TRA that are greater than the specified percentage of the actual benefits we ultimately realize in respect of the tax benefits that are subject to the TRA and (ii) if we materially breach any of our material obligations under the TRA or if we elected to terminate the TRA early,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these situations, our obligations under the TRA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TRA. We may elect to completely terminate the TRA early only with the written approval of a majority of our directors other than any directors that have been appointed or designated by the Continuing LLC Owner or any of such person’s affiliates.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payments to the Continuing LLC Owner under the TRA that exceed the tax benefits actually realized by us in the event that any tax benefits are disallowed by a taxing authority.</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Payments under the TRA are to be based on the tax reporting positions that we determine, and the Internal Revenue Service (“IRS”) or another tax authority may challenge all or part of the tax basis increases, as well as other related tax positions we take, and a court could sustain such challenge. Pursuant to the TRA, the Continuing LLC Owner is required to reimburse us for any cash payments previously made to it under the TRA in the event that any tax benefits actually realized by us and for which payment has been made under the TRA are subsequently challenged by a taxing authority and are ultimately disallowed. In addition, but without duplication of any amounts previously reimbursed by the Continuing LLC Owner, any excess cash payments made by us to the Continuing LLC Owner will be netted against any future cash payments that we might otherwise be required to make to the Continuing LLC Owner under the terms of the TRA. However, we might not determine that we have effectively made an excess cash payment to the Continuing LLC Owner for a number of years following the initial time of such payment. Moreover, there can be no assurance that any excess cash payments for which the Continuing LLC Owner has a reimbursement obligation under the TRA will be repaid to us. As a result, payments could be made under the TRA in excess of the tax savings that we realize in respect of the tax attributes with respect to the Continuing LLC Owner that are the subject of the TRA.</w:t>
      </w:r>
    </w:p>
    <w:p>
      <w:pPr>
        <w:spacing w:after="0" w:line="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or the 1940 Act, as a result of our ownership of BV LLC, applicable restrictions could make it impractical for us to continue our business as contemplated and could adversely affect our business, results of operations and 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sole managing member of BV LLC, we control and operate BV LLC. On that basis, we believe that our interest in BV LLC is not an “investment security” as that term is used in the 1940 Act. However, if we were to cease participation in the management of BV LLC, our interest in BV LLC could be deemed an “investment security” for purposes of the 1940 Act.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BV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Bioventus is controlled by the Original LLC Owners, whose interests may differ from those of our public stockholders.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 Original LLC Owners control approximately 42% of the combined voting power of our common stock through their ownership of both Class A common stock and Class B common stock. The Original LLC Owners will, for the foreseeable future, have the ability to substantially influence us through their ownership position over corporate management and affairs, and will be able to control virtually all matters requiring stockholder approval. The Original LLC Owners may be able to, subject to applicable law, and the voting arrangements, elect a majority of the members of our Board, control actions to be taken by us and our Board,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Original LLC Owners may, in some circumstances, conflict with our interests and the interests of our other stockholders, including you. For example, the Continuing LLC Owner may have different tax positions from us, especially in light of the TRA that could influence our decisions regarding whether and when to dispose of assets, whether and when to incur new or refinance existing indebtedness, and whether and when Bioventus should terminate the TRA and accelerate its obligations thereunder. In addition, the determination of future tax reporting positions and the structuring of future transactions may take into consideration the Continuing LLC Owner’s tax or other considerations, which may differ from the considerations of us or our other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dilution of our Class A common stockholders upon the exchange of the outstanding common membership interests in BV LLC could adversely affect the market price of our Class A common stock and the resale of such shares could cause the market price of our Class A common stock to fall.</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provided in the amended and restated limited liability agreement of Bioventus LLC (“BV LLC”), the holders (the “Selling Securityholders”) of common membership interests in BV LLC (the “LLC Interests”) may, from time to time, exchange their LLC Interests for newly issued shares of our Class A common stock on a one-for-one basis. On October 25, 2024, the Company filed a registration statement on Form S-3 (“Form S-3”) to, in part register for resale 35,038,052 shares of our Class A common stock held by the Selling Securityholders, of which 15,786,737 shares are issuable upon the exchange of their outstanding LLC Interests. The issuance of shares of our Class A common stock upon the exchange of LLC Interests would significantly dilute the ownership interest of our Class A common stockholders and the resale of such shares by the Selling Securityholders pursuant to the Form S-3, or the perception in the market that the Selling Securityholders intend to sell such shares, could adversely affect the market price of our Class A common stock.</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your shares of Class A common stock at or above the price at which you purchase them.</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market historically has experienced extreme price and volume fluctuations. As a result of this volatility, you might not be able to sell your Class A common stock common stock at or above the price at which you purchase it. From our initial public offering in February 2021 through February 27, 2026, the per share trading price of our Class A common stock has been as high as $19.94 and as low as $0.80. It might continue to fluctuate significantly in response to various factors, some of which are beyond our control. These factors include:</w:t>
      </w:r>
    </w:p>
    <w:p>
      <w:pPr>
        <w:spacing w:after="0" w:line="1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relating to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as amended, to the extent permitted by applicable law, contains provisions renouncing our interest and expectation to participate in certain corporate opportunities identified or presented to certain of our Original LLC Owners.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Original LLC Owners are in the business of making or advising on investments in companies and these Original LLC owners may hold, and may, from time to time in the future, acquire interests in or provide advice to businesses that directly or indirectly compete with certain portions of our business or the business of our suppliers. Our amended and restated certificate of incorporation, as amended, provides that, to the fullest extent permitted by law, none of the Original LLC Owners or any director who is not employed by us or his or her affiliates will have any duty to refrain from engaging in a corporate opportunity in the same or similar lines of business as us. The Original LLC Owners may also pursue acquisitions that may be complementary to our business, and, as a result, those acquisition opportunities may not be available to us. As a result, these arrangements could adversely affect our business, results of operations, financial condition or prospects if attractive business opportunities are allocated to any of the Original LLC Owners instead of to us.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as amended, our second amended and restated bylaws and Delaware law could render more difficult, delay or prevent transactions that stockholders consider favorable, including transactions in which you might otherwise receive a premium for your shares of our common stock. These provisions might also prevent or frustrate attempts by our stockholders to replace or remove management, and include provisions that:</w:t>
      </w:r>
    </w:p>
    <w:p>
      <w:pPr>
        <w:spacing w:after="0" w:line="18" w:lineRule="exact"/>
        <w:rPr>
          <w:sz w:val="20"/>
          <w:szCs w:val="20"/>
          <w:color w:val="auto"/>
        </w:rPr>
      </w:pPr>
    </w:p>
    <w:p>
      <w:pPr>
        <w:ind w:left="660" w:hanging="328"/>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to increase the number of outstanding shares and thwart a takeover attempt;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so that not all members of our Board are elected at one time, which is currently being phased out and will be discontinued beginning with our 2026 annual meeting of stockholders;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removal of directors only for cause, provided directors may be removed with or without cause beginning with our 2026 annual meeting of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use of cumulative voting for the election of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stockholders to call special meetings or amend our bylaws;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all stockholder actions to be taken at a meeting of our stockholders;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and duration of ownership requirements for nominations for election to the Board or for proposing matters that can be acted upon by stockholders at stockholder meetings.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which could in turn limit the opportunity for our stockholders to receive a premium for their shares of our common stock and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as amended, provides that the Court of Chancery of the State of Delaware will be, to the fullest extent permitted by law,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as amended, provides that, unless we consent to the selection of an alternative forum, the Court of Chancery of the State of Delaware, or the Court of Chancery, will be, to the fullest extent permitted by law, the sole and exclusive forum for: (a) any derivative action, suit or proceeding brought on our behalf; (b) any action, suit or proceeding asserting a claim of breach of fiduciary duty owed by any of our directors, officers or stockholders to us or to our stockholders; (c) any action, suit or proceeding arising pursuant to any provision of the DGCL, our amended and restated certificate of incorporation, as amended, or our second amended and restated bylaws (as either may be amended from time to time); or, (d) any action, suit or proceeding asserting a claim governed by the internal affairs doctrine; provided that the federal district courts of the United States of America shall be the exclusive forum for the resolution of any complaint asserting a cause of action arising under the Securities Act. The choice of forum provision in our amended and restated certificate of incorporation, as amended does not designate the Court of Chancery as the exclusive forum for any claim for which the applicable statute creates exclusive jurisdiction in another forum and, accordingly, does not apply to any claims brought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as amended, to be inapplicable or unenforceable in an action, we may incur additional costs associated with resolving such action in other jurisdictions, which could harm our business, results of operations and financial condition.</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us will make our Class A common stock less attractive to investors.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pursuant to the provisions of the JOBS Act. For as long as we are an “emerging growth company,” we may take advantage of certain exemptions from reporting requirements that are applicable to other public companies that are not “emerging growth companies,” including, for example, not being required to comply with the auditor attestation requirements of Section 404 of the Sarbanes-Oxley Act of 2002, as amended, reduced disclosure obligations relating to the presentation of financial statements in the “Management’s Discussion and Analysis of Financial Condition and Results of Operations” section of our periodic reports, reduced disclosure obligations regarding executive compensation in our periodic reports and proxy statements and exemptions from the requirements of holding advisory “say-on-pay” votes on executive compensation and shareholder advisory votes on golden parachute compensation. We have availed ourselves of some of these reduced reporting obligations and exemptions in our SEC filings and, if available, expect to continue to do so in future SEC filings.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emerging growth companies can delay the adoption of certain accounting standards until those standards would otherwise apply to private companies. However, we have chosen to “opt out” of such extended transition period, and as a result, we plan to comply with any new or revised accounting standards on the relevant dates on which non-emerging growth companies must adopt such standards. Section 107 of the JOBS Act provides that our decision to opt out of the extended transition period for complying with new or revised accounting standards is irrevocable.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6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(the last day of the fiscal year following the fifth anniversary of the date of our IPO);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revenues of at least $1.235 billion or more;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as such terms is defined in the Exchange Act rules.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 reduced disclosure requirements and exemptions applicable to emerging growth companies.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Beginning with our Annual Report on Form 10-K for the year ending December 31, 2026, we will no longer be able to take advantage of reduced reporting requirements applicable to emerging growth companies, which will require us to incur significant expenses and expend time and resources.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with our Annual Report on Form 10-K for the fiscal year ending December 31, 2026, we will be required to comply with disclosure requirements that are applicable to public companies that are not emerging growth companies. Compliance with these additional requirements may increase our legal and financial compliance costs and divert the attention of management and other personnel from operational and other business matters. If we are not able to comply with changing requirements in a timely manner, we could be subject to investigations or sanctions by the SEC which could cause our stock price to decline and require additional financial and management resources to address.</w:t>
      </w:r>
    </w:p>
    <w:p>
      <w:pPr>
        <w:spacing w:after="0" w:line="1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Unresolved Staff Comments.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1C.</w:t>
      </w:r>
      <w:r>
        <w:rPr>
          <w:sz w:val="20"/>
          <w:szCs w:val="20"/>
          <w:color w:val="auto"/>
        </w:rPr>
        <w:tab/>
      </w:r>
      <w:r>
        <w:rPr>
          <w:rFonts w:ascii="Times New Roman" w:cs="Times New Roman" w:eastAsia="Times New Roman" w:hAnsi="Times New Roman"/>
          <w:sz w:val="21"/>
          <w:szCs w:val="21"/>
          <w:b w:val="1"/>
          <w:bCs w:val="1"/>
          <w:color w:val="auto"/>
        </w:rPr>
        <w:t>Cybersecurity.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Bioventus maintains a cybersecurity risk management program that is designed to enable us to assess, identify, and manage risk associated with cybersecurity threats (the “Cybersecurity Program”). Our Cybersecurity Program is based on standards promulgated by the National Institute of Standards and Technology (“NIST”) and the United States Cybersecurity and Infrastructure Security Agency (“CISA”) and includes the following elements:</w:t>
      </w:r>
    </w:p>
    <w:p>
      <w:pPr>
        <w:spacing w:after="0" w:line="14" w:lineRule="exact"/>
        <w:rPr>
          <w:sz w:val="20"/>
          <w:szCs w:val="20"/>
          <w:color w:val="auto"/>
        </w:rPr>
      </w:pPr>
    </w:p>
    <w:p>
      <w:pPr>
        <w:ind w:left="66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assessment of cybersecurity threats based on periodic internal and external assessments and monitoring, information from internal stakeholders, and external publications and resources such as those made available by CISA.</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organizational safeguards designed to protect against identified threats, including documented policies and procedures, technical controls, and employee education and awareness.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designed to detect the occurrence of cybersecurity events and to respond to and recover from cybersecurity incidents.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designed to manage cybersecurity risks associated with our service providers, suppliers, and vendors.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Program is regularly evaluated by internal and external experts with the results of those reviews reported to senior management and the Audit and Risk Committee of the Board of Directors. We also actively engage with key vendors, industry participants and threat intelligence communities as part of our continuing efforts to evaluate and enhance the effectiveness of the Cybersecurity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of Risk Management Process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Assessing, identifying, and managing cybersecurity-related risks is integrated into our overall risk management framework. The Cybersecurity Program is integrated into our enterprise risk management program and framework. These programs are designed to foster a company-wide culture of appropriate cybersecurity risk management. Our IT Security team works closely with stakeholders across technology, legal, risk, and business operations to implement and monitor the effectiveness of the Cybersecurity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of Third Parties in Connection with Risk Management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a range of external experts to assist in its assessment, identification, and management of risks from cybersecurity threats. These include cybersecurity consultants and external auditors to review the Company’s cybersecurity posture and responsive efforts. Our relationships with these external partners enable us to leverage their expertise with the goal of maintaining best practices.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of Third-Party Risks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third-party service providers, suppliers, and vendors face their own risks from cybersecurity threats that could impact us in certain circumstances. We have implemented processes for overseeing and managing these risks. Those processes include assessing the third party’s information security practices before allowing them to access our information systems or data, requiring the third parties to implement appropriate cybersecurity controls and otherwise agree to contractual requirements designed to address cybersecurity risks in our agreements with them, and conducting ongoing monitoring of their compliance with those requirements.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encountered any risks from cybersecurity threats that have materially affected or are reasonably likely to materially affect the Company, including its business strategy, results of operations, or financial condition. However, incidents impacting data processed and systems maintained or operated by us or on our behalf, and incidents otherwise impacting our operations, can and do occur. For example, Change Healthcare, a subsidiary of UnitedHealth Group that acts as an intermediary for processing certain of our claims for reimbursement related to our EXOGEN device to commercial payers experienced an incident in 2024 in which a cybersecurity threat actor gained access to some of its information technology systems. As a result of the Change Healthcare incident, certain of our patient billing and collections processes were disrupted. We identified an alternative claim processing intermediary and have resumed claims submissions, but this incident caused delays in a portion of our claims submissions to some commercial payers thereby delaying the related cash remittances to 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oversight of Bioventus’ Cybersecurity Program falls under the purview of the Company’s Director of IT Security, Risk and Compliance, who has over 25 years of combined technical and leadership experience, with the past 19 years focused on information security and technology risk management, and holds Certified Information Systems Security Professional (CISSP) and Certified Information Security Manager (CISM) certifications.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and Risk Committee of the Board of Directors is primarily responsible for the oversight of risks from cybersecurity threats, and is regularly briefed on the Company’s Cybersecurity Program by the Vice President of Information Technology and/or Director of IT Security, Risk and Compliance. These briefs include updates on the Company’s cyber risks and threats, the status of projects to strengthen our information security systems, assessments of the information security program, and the emerging cybersecurity threat landscape.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Director of IT Security, Risk and Compliance implements and oversees our processes for regularly monitoring our information systems and detecting and reporting cybersecurity incidents. That process includes convening an incident response team composed of the Director of IT Security, Risk and Compliance, Vice President of Information Technology, Chief Compliance Officer, and General Counsel. The incident response team is responsible for overseeing the assessment of and response to any cybersecurity incident and for monitoring the Company’s mitigation and remediation efforts. The incident response team is also responsible for informing executive management, the Audit and Risk Committee and, where appropriate, the Board of Directors, regarding the detection, mitigation, and remediation of cybersecurity incidents.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Properties.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on leased property in Durham, North Carolina. We also occupy leased office and manufacturing space in Cordova, Tennessee, Farmingdale, New York, and Valencia, California. In addition, our international operations occupy leased office spaces in Hoofddorp, Netherlands and Mississauga, Canada. We believe that our facilities are sufficient to meet our current needs and that suitable additional space will be available as and when needed on acceptable terms.</w:t>
      </w:r>
    </w:p>
    <w:p>
      <w:pPr>
        <w:spacing w:after="0" w:line="1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12, 2023, the Company and certain of its current and former directors and officers were named as defendants in a putative class action lawsuit filed in the Middle District of North Carolina (the “Court”), </w:t>
      </w:r>
      <w:r>
        <w:rPr>
          <w:rFonts w:ascii="Times New Roman" w:cs="Times New Roman" w:eastAsia="Times New Roman" w:hAnsi="Times New Roman"/>
          <w:sz w:val="18"/>
          <w:szCs w:val="18"/>
          <w:i w:val="1"/>
          <w:iCs w:val="1"/>
          <w:color w:val="auto"/>
        </w:rPr>
        <w:t>Ciarciello v. Bioventus Inc.</w:t>
      </w:r>
      <w:r>
        <w:rPr>
          <w:rFonts w:ascii="Times New Roman" w:cs="Times New Roman" w:eastAsia="Times New Roman" w:hAnsi="Times New Roman"/>
          <w:sz w:val="18"/>
          <w:szCs w:val="18"/>
          <w:color w:val="auto"/>
        </w:rPr>
        <w:t>,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 million, together with interest earned thereon, has been paid by the defendants and/or the defendant’s insurers. The Company incurred $0.1 million and $13.8 million of net shareholder litigation costs (including estimated settlement and reimbursement) during the years ended December 31, 2025 and 2024, respectively, under the Settlement Agreement, which were recorded in selling, general and administrative expense within the consolidated statements of operations and comprehensive income (loss).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certain of the Company’s current and former directors and officers were named as defendants in a derivative shareholder lawsuit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Grogan, on behalf of Bioventus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Reali, et al.</w:t>
      </w:r>
      <w:r>
        <w:rPr>
          <w:rFonts w:ascii="Times New Roman" w:cs="Times New Roman" w:eastAsia="Times New Roman" w:hAnsi="Times New Roman"/>
          <w:sz w:val="18"/>
          <w:szCs w:val="18"/>
          <w:color w:val="auto"/>
        </w:rPr>
        <w:t>, No. 1:23-CV-01099-RGA (D. Del.). The complaint asserts violations of Section 14(a) of the Exchange Act, breaches of fiduciary duties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January 12, 2024, the Court agreed to stay this case pending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9, 2024, another plaintiff filed a derivative shareholder lawsuit against certain of the Company’s current and former directors and officers (in which the Company is a nominal defendant) in the United States District Court for the District of Delaware, </w:t>
      </w:r>
      <w:r>
        <w:rPr>
          <w:rFonts w:ascii="Times New Roman" w:cs="Times New Roman" w:eastAsia="Times New Roman" w:hAnsi="Times New Roman"/>
          <w:sz w:val="18"/>
          <w:szCs w:val="18"/>
          <w:i w:val="1"/>
          <w:iCs w:val="1"/>
          <w:color w:val="auto"/>
        </w:rPr>
        <w:t>Sanderson, on behalf of Bioventus Inc.</w:t>
      </w:r>
      <w:r>
        <w:rPr>
          <w:rFonts w:ascii="Times New Roman" w:cs="Times New Roman" w:eastAsia="Times New Roman" w:hAnsi="Times New Roman"/>
          <w:sz w:val="18"/>
          <w:szCs w:val="18"/>
          <w:color w:val="auto"/>
        </w:rPr>
        <w:t xml:space="preserve">, v. Reali, et al., No. 1:24-cv-00180-RGA (D. Del.). Like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this case asserts violations of Section 10(b) of the Exchange Act, breaches of fiduciary duties 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 2024, the parties filed a stipulation to consolidate the </w:t>
      </w:r>
      <w:r>
        <w:rPr>
          <w:rFonts w:ascii="Times New Roman" w:cs="Times New Roman" w:eastAsia="Times New Roman" w:hAnsi="Times New Roman"/>
          <w:sz w:val="18"/>
          <w:szCs w:val="18"/>
          <w:i w:val="1"/>
          <w:iCs w:val="1"/>
          <w:color w:val="auto"/>
        </w:rPr>
        <w:t>Sanderson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derivative matters and stay them on terms similar to those entered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On May 2, 2024, the Court granted the stipulation and ordered the consolidation of the Sanderson and Grogan cases, captioned </w:t>
      </w:r>
      <w:r>
        <w:rPr>
          <w:rFonts w:ascii="Times New Roman" w:cs="Times New Roman" w:eastAsia="Times New Roman" w:hAnsi="Times New Roman"/>
          <w:sz w:val="18"/>
          <w:szCs w:val="18"/>
          <w:i w:val="1"/>
          <w:iCs w:val="1"/>
          <w:color w:val="auto"/>
        </w:rPr>
        <w:t>In re Bioventus Inc. Derivative Litigation</w:t>
      </w:r>
      <w:r>
        <w:rPr>
          <w:rFonts w:ascii="Times New Roman" w:cs="Times New Roman" w:eastAsia="Times New Roman" w:hAnsi="Times New Roman"/>
          <w:sz w:val="18"/>
          <w:szCs w:val="18"/>
          <w:color w:val="auto"/>
        </w:rPr>
        <w:t>, No.: 1:23-cv-01099-RGA (D. Del.). The Court also stayed the consolidated case. Following resolution of the</w:t>
      </w:r>
      <w:r>
        <w:rPr>
          <w:rFonts w:ascii="Times New Roman" w:cs="Times New Roman" w:eastAsia="Times New Roman" w:hAnsi="Times New Roman"/>
          <w:sz w:val="18"/>
          <w:szCs w:val="18"/>
          <w:i w:val="1"/>
          <w:iCs w:val="1"/>
          <w:color w:val="auto"/>
        </w:rPr>
        <w:t xml:space="preserve"> Ciarciello </w:t>
      </w:r>
      <w:r>
        <w:rPr>
          <w:rFonts w:ascii="Times New Roman" w:cs="Times New Roman" w:eastAsia="Times New Roman" w:hAnsi="Times New Roman"/>
          <w:sz w:val="18"/>
          <w:szCs w:val="18"/>
          <w:color w:val="auto"/>
        </w:rPr>
        <w:t>case, on December 30, 2024, the plaintiffs in the consolidated case filed an amended complaint asserting the same claims as in the</w:t>
      </w:r>
      <w:r>
        <w:rPr>
          <w:rFonts w:ascii="Times New Roman" w:cs="Times New Roman" w:eastAsia="Times New Roman" w:hAnsi="Times New Roman"/>
          <w:sz w:val="18"/>
          <w:szCs w:val="18"/>
          <w:i w:val="1"/>
          <w:iCs w:val="1"/>
          <w:color w:val="auto"/>
        </w:rPr>
        <w:t xml:space="preserve"> Grogan </w:t>
      </w:r>
      <w:r>
        <w:rPr>
          <w:rFonts w:ascii="Times New Roman" w:cs="Times New Roman" w:eastAsia="Times New Roman" w:hAnsi="Times New Roman"/>
          <w:sz w:val="18"/>
          <w:szCs w:val="18"/>
          <w:color w:val="auto"/>
        </w:rPr>
        <w:t>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and February 3, 2026,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July 31, 2024, another plaintiff filed a derivative complaint against certain of the Company’s current and former officers and directors, (in which the Company is a nominal defendant), in the United States District Court for the Middle District of North Carolina, captioned </w:t>
      </w:r>
      <w:r>
        <w:rPr>
          <w:rFonts w:ascii="Times New Roman" w:cs="Times New Roman" w:eastAsia="Times New Roman" w:hAnsi="Times New Roman"/>
          <w:sz w:val="18"/>
          <w:szCs w:val="18"/>
          <w:i w:val="1"/>
          <w:iCs w:val="1"/>
          <w:color w:val="auto"/>
        </w:rPr>
        <w:t>Vince, on behalf of Bioventus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Reali et. al.</w:t>
      </w:r>
      <w:r>
        <w:rPr>
          <w:rFonts w:ascii="Times New Roman" w:cs="Times New Roman" w:eastAsia="Times New Roman" w:hAnsi="Times New Roman"/>
          <w:sz w:val="18"/>
          <w:szCs w:val="18"/>
          <w:color w:val="auto"/>
        </w:rPr>
        <w:t>, No. 1:24-cv-00639-CCE-JEP (M.D.N.C.). Like the</w:t>
      </w:r>
      <w:r>
        <w:rPr>
          <w:rFonts w:ascii="Times New Roman" w:cs="Times New Roman" w:eastAsia="Times New Roman" w:hAnsi="Times New Roman"/>
          <w:sz w:val="18"/>
          <w:szCs w:val="18"/>
          <w:i w:val="1"/>
          <w:iCs w:val="1"/>
          <w:color w:val="auto"/>
        </w:rPr>
        <w:t xml:space="preserve"> Grogan </w:t>
      </w:r>
      <w:r>
        <w:rPr>
          <w:rFonts w:ascii="Times New Roman" w:cs="Times New Roman" w:eastAsia="Times New Roman" w:hAnsi="Times New Roman"/>
          <w:sz w:val="18"/>
          <w:szCs w:val="18"/>
          <w:color w:val="auto"/>
        </w:rPr>
        <w:t>case,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case asserts violations of Section 14(a) of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unjust enrichment, contribution, and waste and generally alleges the same purported misconduct as alleged in the in the </w:t>
      </w:r>
      <w:r>
        <w:rPr>
          <w:rFonts w:ascii="Times New Roman" w:cs="Times New Roman" w:eastAsia="Times New Roman" w:hAnsi="Times New Roman"/>
          <w:sz w:val="18"/>
          <w:szCs w:val="18"/>
          <w:i w:val="1"/>
          <w:iCs w:val="1"/>
          <w:color w:val="auto"/>
        </w:rPr>
        <w:t xml:space="preserve">Ciarciello </w:t>
      </w:r>
      <w:r>
        <w:rPr>
          <w:rFonts w:ascii="Times New Roman" w:cs="Times New Roman" w:eastAsia="Times New Roman" w:hAnsi="Times New Roman"/>
          <w:sz w:val="18"/>
          <w:szCs w:val="18"/>
          <w:color w:val="auto"/>
        </w:rPr>
        <w:t>case. On November 11, 2024, the defendants filed a motion to transfer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case to the United States District Court for the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Delaware, pursuant to the forum selection clause in Bioventus’s certificate of incorporation. On January 14, 2025, the Court granted the motion and transferred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District of Delaware. On February 14, 2025, the plaintiff requested voluntary dismissal of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20, 2025, plaintiff Vince refiled a derivative complaint against certain of Bioventus’ current and former officers and directors, (in which the Company is a nominal defendant), in the Delaware Chancery Court, captioned </w:t>
      </w:r>
      <w:r>
        <w:rPr>
          <w:rFonts w:ascii="Times New Roman" w:cs="Times New Roman" w:eastAsia="Times New Roman" w:hAnsi="Times New Roman"/>
          <w:sz w:val="18"/>
          <w:szCs w:val="18"/>
          <w:i w:val="1"/>
          <w:iCs w:val="1"/>
          <w:color w:val="auto"/>
        </w:rPr>
        <w:t>Vince, on behalf of Bioventus Inc. v. Reali et al.</w:t>
      </w:r>
      <w:r>
        <w:rPr>
          <w:rFonts w:ascii="Times New Roman" w:cs="Times New Roman" w:eastAsia="Times New Roman" w:hAnsi="Times New Roman"/>
          <w:sz w:val="18"/>
          <w:szCs w:val="18"/>
          <w:color w:val="auto"/>
        </w:rPr>
        <w:t xml:space="preserve">, No. 2025-0192-LWW (Del. Ch.). Like the prior complaint, which he voluntarily dismissed,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March 24, 2025, the defendants filed a motion to dismiss the complaint, or in the alternative, to stay the case.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another plaintiff filed a derivative complaint against certain of Bioventus’s current and former officers and directors, (in which the Company is a nominal defendant), in the Delaware Court of Chancery, captioned </w:t>
      </w:r>
      <w:r>
        <w:rPr>
          <w:rFonts w:ascii="Times New Roman" w:cs="Times New Roman" w:eastAsia="Times New Roman" w:hAnsi="Times New Roman"/>
          <w:sz w:val="18"/>
          <w:szCs w:val="18"/>
          <w:i w:val="1"/>
          <w:iCs w:val="1"/>
          <w:color w:val="auto"/>
        </w:rPr>
        <w:t>Bouchereau, on behalf of Bioventus Inc. v. Reali et al.</w:t>
      </w:r>
      <w:r>
        <w:rPr>
          <w:rFonts w:ascii="Times New Roman" w:cs="Times New Roman" w:eastAsia="Times New Roman" w:hAnsi="Times New Roman"/>
          <w:sz w:val="18"/>
          <w:szCs w:val="18"/>
          <w:color w:val="auto"/>
        </w:rPr>
        <w:t xml:space="preserve">, No. 2025-0214-BWD (Del. Ch.). The complaint is nearly identical to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complaint and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The Defendants have not yet been served.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March 6, 2025, another plaintiff filed a derivative complaint against certain of Bioventus’s current and former officers and directors (in which the Company is a nominal defendant), in in the United States District Court for the Middle District of North Carolina, captioned </w:t>
      </w:r>
      <w:r>
        <w:rPr>
          <w:rFonts w:ascii="Times New Roman" w:cs="Times New Roman" w:eastAsia="Times New Roman" w:hAnsi="Times New Roman"/>
          <w:sz w:val="18"/>
          <w:szCs w:val="18"/>
          <w:i w:val="1"/>
          <w:iCs w:val="1"/>
          <w:color w:val="auto"/>
        </w:rPr>
        <w:t>Hyung v. Reali et al.</w:t>
      </w:r>
      <w:r>
        <w:rPr>
          <w:rFonts w:ascii="Times New Roman" w:cs="Times New Roman" w:eastAsia="Times New Roman" w:hAnsi="Times New Roman"/>
          <w:sz w:val="18"/>
          <w:szCs w:val="18"/>
          <w:color w:val="auto"/>
        </w:rPr>
        <w:t xml:space="preserve">, No. 1:25-cv-00177-CCE-JEP (M.D.N.C.). Like the other derivative cases,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asserts violations of Section 14(a) of the Exchange Act, contribution, breaches of fiduciary duties, aiding and abetting, gross mismanagement, waste, and generally alleges the same purported misconduct as alleged in the </w:t>
      </w:r>
      <w:r>
        <w:rPr>
          <w:rFonts w:ascii="Times New Roman" w:cs="Times New Roman" w:eastAsia="Times New Roman" w:hAnsi="Times New Roman"/>
          <w:sz w:val="18"/>
          <w:szCs w:val="18"/>
          <w:i w:val="1"/>
          <w:iCs w:val="1"/>
          <w:color w:val="auto"/>
        </w:rPr>
        <w:t xml:space="preserve">Ciarciello </w:t>
      </w:r>
      <w:r>
        <w:rPr>
          <w:rFonts w:ascii="Times New Roman" w:cs="Times New Roman" w:eastAsia="Times New Roman" w:hAnsi="Times New Roman"/>
          <w:sz w:val="18"/>
          <w:szCs w:val="18"/>
          <w:color w:val="auto"/>
        </w:rPr>
        <w:t>case. On May 13, 2025, the defendants filed a motion to transfer the</w:t>
      </w:r>
      <w:r>
        <w:rPr>
          <w:rFonts w:ascii="Times New Roman" w:cs="Times New Roman" w:eastAsia="Times New Roman" w:hAnsi="Times New Roman"/>
          <w:sz w:val="18"/>
          <w:szCs w:val="18"/>
          <w:i w:val="1"/>
          <w:iCs w:val="1"/>
          <w:color w:val="auto"/>
        </w:rPr>
        <w:t xml:space="preserve"> Hyung </w:t>
      </w:r>
      <w:r>
        <w:rPr>
          <w:rFonts w:ascii="Times New Roman" w:cs="Times New Roman" w:eastAsia="Times New Roman" w:hAnsi="Times New Roman"/>
          <w:sz w:val="18"/>
          <w:szCs w:val="18"/>
          <w:color w:val="auto"/>
        </w:rPr>
        <w:t>case to the United States District Court for the District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the forum selection clause in Bioventus’s certificate of incorporation, or in the alternative, to dismiss the case. On July 1, 2025, the Court granted the motion to transfer and transferred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w:t>
      </w:r>
      <w:r>
        <w:rPr>
          <w:rFonts w:ascii="Times New Roman" w:cs="Times New Roman" w:eastAsia="Times New Roman" w:hAnsi="Times New Roman"/>
          <w:sz w:val="18"/>
          <w:szCs w:val="18"/>
          <w:i w:val="1"/>
          <w:iCs w:val="1"/>
          <w:color w:val="auto"/>
        </w:rPr>
        <w:t>Hyung v. Reali, et. al</w:t>
      </w:r>
      <w:r>
        <w:rPr>
          <w:rFonts w:ascii="Times New Roman" w:cs="Times New Roman" w:eastAsia="Times New Roman" w:hAnsi="Times New Roman"/>
          <w:sz w:val="18"/>
          <w:szCs w:val="18"/>
          <w:color w:val="auto"/>
        </w:rPr>
        <w:t xml:space="preserve">., No. 1:25-cv-00806-RGA (D. Del.). The defendants filed a motion to dismiss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on October 10, 2025.The motion to dismiss has been fully briefed and the parties are currently awaiting the Court’s decision.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2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20" w:lineRule="exact"/>
        <w:rPr>
          <w:sz w:val="20"/>
          <w:szCs w:val="20"/>
          <w:color w:val="auto"/>
        </w:rPr>
      </w:pPr>
    </w:p>
    <w:p>
      <w:pPr>
        <w:ind w:left="1080" w:right="2580" w:hanging="1295"/>
        <w:spacing w:after="0" w:line="287"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2"/>
          <w:szCs w:val="22"/>
          <w:b w:val="1"/>
          <w:bCs w:val="1"/>
          <w:color w:val="auto"/>
        </w:rPr>
        <w:t>Market for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11, 2021, we closed an initial public offering (“IPO”) and our Class A common stock began trading on the Nasdaq Global Select Market under the symbol “BVS.” Prior to that time, there was no public market for our stock. There is no established public trading market for our Class B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27, 2026, we had approximately 243 holders of record of our Class A common stock. This amount does not take into account shareholders whose shares are held in “street name” by brokerage houses or other intermediaries. The closing price of our common stock on February 27, 2026 was $8.78. As of February 27, 2026, we had one holder of record of our Class B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to holders of our Class A common stock in the foreseeable future. We currently intend to retain all available funds and any future earnings to finance the growth of our business. If we decide to pay cash dividends in the future, the declaration and payment of such dividends will be at the sole discretion of our board of directors (“Board”) and may be discontinued at any time. Holders of our Class B common stock are not entitled to participate in any dividends declared by our Board. In determining the amount of any future dividends, our Board will take into account any legal or contractual limitations, our actual and anticipated future earnings, cash flow, debt service and capital requirements and other factors that our Board may deem relevant.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Bioventus Inc. declares any cash dividend, we intend to cause Bioventus LLC (“BV LLC”) to make distributions to Bioventus Inc., in an amount sufficient to cover such cash dividends declared by us. If BV LLC makes such distributions to Bioventus Inc., the Class B common stock owner will also be entitled to receive the respective equivalent pro rata distributions in accordance with the percentages of their respective LLC Interests.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terms of our financing arrangements contain covenants that may restrict BV LLC and its subsidiaries from paying such distributions, subject to certain exceptions. Any financing arrangements that we enter into in the future may include restrictive covenants that limit our ability to pay dividends. In addition, BV LLC is generally prohibited under Delaware law from making a distribution to a member to the extent that, at the time of the distribution, after giving effect to the distribution, liabilities of BV LLC (with certain exceptions) exceed the fair value of its assets. Subsidiaries of BV LLC are generally subject to similar legal limitations on their ability to make distributions to BV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Item 5 of Form 10-K regarding equity-based compensation plans is incorporated herein by reference to </w:t>
      </w:r>
      <w:r>
        <w:rPr>
          <w:rFonts w:ascii="Times New Roman" w:cs="Times New Roman" w:eastAsia="Times New Roman" w:hAnsi="Times New Roman"/>
          <w:sz w:val="18"/>
          <w:szCs w:val="18"/>
          <w:i w:val="1"/>
          <w:iCs w:val="1"/>
          <w:color w:val="auto"/>
        </w:rPr>
        <w:t>Part III, Item 12.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performance graph is not deemed to be “soliciting material” or to be “filed” with the SEC or subject to Regulation 14A or 14C or to the liabilities of Section 18 of the Exchange Act. This information will not be deemed to be incorporated by reference into any filing under the Securities Act or the Exchange Act, except to the extent we specifically incorporate this information by reference.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return to stockholders on our Class A common stock relative to the cumulative total returns on the Nasdaq Composite Index and the S&amp;P 500 Health Care Equipment Index for the period commencing on February 11, 2021 (the date our Class A common stock commenced trading on Nasdaq) through December 31, 2025 assuming an initial investment of $100. Nasdaq Composite Index and S&amp;P 500 Health Care Equipment Index will not be deemed incorporated by reference into any other filings under the Exchange Act or the Securities Act, except to the extent we specifically incorporate. Note that historic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59690</wp:posOffset>
            </wp:positionV>
            <wp:extent cx="5872480" cy="3257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24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2/11/2021</w:t>
            </w:r>
          </w:p>
        </w:tc>
        <w:tc>
          <w:tcPr>
            <w:tcW w:w="240" w:type="dxa"/>
            <w:vAlign w:val="bottom"/>
          </w:tcPr>
          <w:p>
            <w:pPr>
              <w:spacing w:after="0"/>
              <w:rPr>
                <w:sz w:val="16"/>
                <w:szCs w:val="16"/>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40" w:type="dxa"/>
            <w:vAlign w:val="bottom"/>
          </w:tcPr>
          <w:p>
            <w:pPr>
              <w:spacing w:after="0"/>
              <w:rPr>
                <w:sz w:val="16"/>
                <w:szCs w:val="16"/>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6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60" w:type="dxa"/>
            <w:vAlign w:val="bottom"/>
          </w:tcPr>
          <w:p>
            <w:pPr>
              <w:spacing w:after="0"/>
              <w:rPr>
                <w:sz w:val="16"/>
                <w:szCs w:val="16"/>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240" w:type="dxa"/>
            <w:vAlign w:val="bottom"/>
          </w:tcPr>
          <w:p>
            <w:pPr>
              <w:spacing w:after="0"/>
              <w:rPr>
                <w:sz w:val="16"/>
                <w:szCs w:val="16"/>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12/31/2025</w:t>
            </w:r>
          </w:p>
        </w:tc>
      </w:tr>
      <w:tr>
        <w:trPr>
          <w:trHeight w:val="23"/>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Bioventus Inc.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Health Care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r>
    </w:tbl>
    <w:p>
      <w:pPr>
        <w:spacing w:after="0" w:line="2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Part I, Item 1A. Risk Factors and our consolidated financial statements and the related notes to those statements included elsewhere in this Annual Report on Form 10-K (“Annual Report”). In addition to historical consolidated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Part 1, Item 1A. Risk Factors and elsewhere in this Annual Report. A discussion of the year ended December 31, 2024 compared to the year ended December 31, 2023 has been reported previously in our Form 10-K for the fiscal year ended December 31, 2024, filed with the SEC on March 11, 2025, under the heading "Management's Discussion and Analysis of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medical device company focused on helping patients recover and live life to the fullest by relieving pain and addressing musculoskeletal challenges through a diverse portfolio of high-quality, innovative, and clinically proven solutions. We operate our business through two reporting segments, U.S. and International, and our portfolio of products is comprised of five patient-focused areas, grouped into three businesses based on clinical use: (i) Pain Treatments &amp; PRP (“Pain Treatments”), (ii) Surgical Solutions and (iii) Restorative Therapies.</w:t>
      </w:r>
    </w:p>
    <w:p>
      <w:pPr>
        <w:spacing w:after="0" w:line="1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Pain Treatments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Knee Osteoarthritis (“KOA”)</w:t>
      </w:r>
      <w:r>
        <w:rPr>
          <w:rFonts w:ascii="Times New Roman" w:cs="Times New Roman" w:eastAsia="Times New Roman" w:hAnsi="Times New Roman"/>
          <w:sz w:val="18"/>
          <w:szCs w:val="18"/>
          <w:color w:val="auto"/>
        </w:rPr>
        <w:t>: Our product portfolio includes a range of intra-articular, hyaluronic acid (“HA”) injections that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relieve patient discomfort and improve quality of life. In the U.S., we also distribute the XCELL Platelet-Rich Plasma (“PRP”) system, a technology that is synergistic with our existing physician call points, as many surgeons who use HA also use PRP.</w:t>
      </w:r>
    </w:p>
    <w:p>
      <w:pPr>
        <w:spacing w:after="0" w:line="8"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Peripheral Nerve Stimulation (“PNS”)</w:t>
      </w:r>
      <w:r>
        <w:rPr>
          <w:rFonts w:ascii="Times New Roman" w:cs="Times New Roman" w:eastAsia="Times New Roman" w:hAnsi="Times New Roman"/>
          <w:sz w:val="18"/>
          <w:szCs w:val="18"/>
          <w:color w:val="auto"/>
        </w:rPr>
        <w:t>: We are focused on developing a full portfolio of peripheral nerve stimulation products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acute, temporary and chronic pain.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Surgical Solutions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380" w:hanging="320"/>
        <w:spacing w:after="0" w:line="268"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Ultrasonics: </w:t>
      </w:r>
      <w:r>
        <w:rPr>
          <w:rFonts w:ascii="Times New Roman" w:cs="Times New Roman" w:eastAsia="Times New Roman" w:hAnsi="Times New Roman"/>
          <w:sz w:val="18"/>
          <w:szCs w:val="18"/>
          <w:color w:val="auto"/>
        </w:rPr>
        <w:t>Our Ultrasonics business offers precision bone resection for patients with degenerative spine conditions and spinal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deformities. This portfolio also enables precision ultrasonic neuro and general surgery to address brain tumors and pathologies of the liver and other organs.</w:t>
      </w:r>
    </w:p>
    <w:p>
      <w:pPr>
        <w:spacing w:after="0" w:line="8"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Bone Graft Substitutes (“BGS”)</w:t>
      </w:r>
      <w:r>
        <w:rPr>
          <w:rFonts w:ascii="Times New Roman" w:cs="Times New Roman" w:eastAsia="Times New Roman" w:hAnsi="Times New Roman"/>
          <w:sz w:val="18"/>
          <w:szCs w:val="18"/>
          <w:color w:val="auto"/>
        </w:rPr>
        <w:t>: Our BGS product portfolio includes a range of products that facilitate optimal bone fusion following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procedure.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Restorative Therapies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160" w:hanging="320"/>
        <w:spacing w:after="0" w:line="268"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Fracture Care: </w:t>
      </w:r>
      <w:r>
        <w:rPr>
          <w:rFonts w:ascii="Times New Roman" w:cs="Times New Roman" w:eastAsia="Times New Roman" w:hAnsi="Times New Roman"/>
          <w:sz w:val="18"/>
          <w:szCs w:val="18"/>
          <w:color w:val="auto"/>
        </w:rPr>
        <w:t>We provide low-intensity pulse ultrasound to help patients who suffer from bone fractures that do not heal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 methods. We plan to expand our U.S. clinical fracture care indications to address the healing of fresh fractures, especially for high-risk patients.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net sales, net income (loss) and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income (loss) per share)</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108,882</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Class A common stock</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34"/>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below under </w:t>
      </w:r>
      <w:r>
        <w:rPr>
          <w:rFonts w:ascii="Times New Roman" w:cs="Times New Roman" w:eastAsia="Times New Roman" w:hAnsi="Times New Roman"/>
          <w:sz w:val="18"/>
          <w:szCs w:val="18"/>
          <w:i w:val="1"/>
          <w:iCs w:val="1"/>
          <w:color w:val="auto"/>
        </w:rPr>
        <w:t>Results of Operations-Adjusted EBITDA</w:t>
      </w:r>
      <w:r>
        <w:rPr>
          <w:rFonts w:ascii="Times New Roman" w:cs="Times New Roman" w:eastAsia="Times New Roman" w:hAnsi="Times New Roman"/>
          <w:sz w:val="18"/>
          <w:szCs w:val="18"/>
          <w:color w:val="auto"/>
        </w:rPr>
        <w:t xml:space="preserve"> for a reconciliation of net income (loss) to Adjusted EBITDA.</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Significant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Credit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31, 2025, we entered into a Credit Agreement (the “2025 Credit Agreement”) that provides for a $300.0 million term loan facility (the “2025 Term Loan”) and a $100.0 million revolving credit facility (the “2025 Revolver”). Proceeds from the 2025 Term Loan, borrowings of $30.0 million under the 2025 Revolver, and $2.6 million of available cash were used to fully repay the outstanding balance under the 2019 Credit and Guaranty Agreement, as amended, which totaled $332.6 million at the time of repayment. We recorded a $0.3 million loss on extinguishment and incurred $0.8 million in third-party costs as a result of these refinancing transactions.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is expected to provide $2.0 million of annual interest expense savings, increased liquidity and extended debt maturity to July 2030. On August 1, 2025, we entered into two interest rate swaps totaling $150.0 million to hedge the interest rate risk associated with our floating-rate SOFR-based borrowings under the 2025 Credit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XCELL PRP System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2025, we fully launched the XCELL PRP System in the Orthopedic and Sports Medicine specialties across the U.S. market. The XCELL PRP System is designed to deliver customization, precision and efficiency with high platelet count in a single 10-minute process, allowing providers to select between leukocyte-rich and leukocyte-poor options with flexible dosing to meet individual patient and procedural needs.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Peripheral Nerve Stimulation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we received FDA 510(k) clearances for both TalisMann and StimTrial, expanding our innovative growth portfolio of PNS solutions for chronic pain management. These clearances mark an important step forward and represent a substantial growth opportunity as we look to expand in the PNS market. With TalisMann and StimTrial now FDA-cleared, we offer a comprehensive PNS portfolio that empowers physicians to potentially treat a broader spectrum of patients—from initial assessment to long-term therapy—with greater confidence and flexibility. This development also reinforces our commitment to delivering non-opioid, minimally invasive therapies designed to address real-world clinical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TalisMann combines our patented electric field conduction technology with an integrated pulse generator to potentially reach deeper, larger nerves. This combination is designed to provide long-term relief from chronic nerve pain for patients, potentially increasing the number of patients who respond to neuromodulation therapy. From a physician's perspective, the increase in power allows for easier lead placement and potentially broadens addressable nerves. StimTrial provides physicians the ability to evaluate patient response to PNS therapy, which we expect will facilitate physician adoption and payer reimbursement where trial assessments are required. We began a limited commercial release of both TalisMann and StimTrial in select U.S. markets during the third quarter of 2025. The broader market launch of these products commenced in early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Rehabilitation Business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2024, we completed the sale of certain products within our Advanced Rehabilitation Business, including the L100, L300 Go, L360, H200, Vector Gait &amp; Safety System and Bioness Integrated Therapy System (collectively, the “Advanced Rehabilitation Business”). This divestiture reflects our strategic decision to focus on core business areas and streamline operations. The Advanced Rehabilitation Business was considered non-core and required additional research and development investment to achieve its next stage of growth. We received $24.7 million of cash proceeds at closing, net of transactional fees, which were subject to a post-closing adjustment for net working capital. We paid $0.7 million in the second quarter of 2025 to settle the adjustment for net working capital. The net proceeds were used to pay $20.0 million in long-term debt obligations on December 31, 2024. We may also receive an aggregate of $20.0 million in potential earn-out payments based on the achievement of certain revenue and financial performance thresholds related to the Advanced Rehabilitation Business during the fiscal years ending December 31, 2025 and 2026. The revenue and specified financial performance criteria for the fiscal year ended December 31, 2025 were not achieved.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net sales from a portfolio of active healing products that serve physicians spanning the orthopedic continuum, including sports medicine, total joint reconstruction, hand and upper extremities, foot and ankle, podiatric surgery, trauma, spine and neurosurgery. We report sales net of contractual allowances, rebates and returns.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sell our products primarily through our direct sales team, which manages and maintains the sales relationship with healthcare providers, distribution centers or specialty pharmacies. Certain Surgical Solutions products are sold through independent distributors to hospitals so our neurosurgeon and orthopedic spine surgeon customers can use them in procedures. In certain international markets, we also sell to independent distributors on prearranged business terms, who manage or maintain the sales relationship with their physician customers. Refer to </w:t>
      </w:r>
      <w:r>
        <w:rPr>
          <w:rFonts w:ascii="Times New Roman" w:cs="Times New Roman" w:eastAsia="Times New Roman" w:hAnsi="Times New Roman"/>
          <w:sz w:val="18"/>
          <w:szCs w:val="18"/>
          <w:i w:val="1"/>
          <w:iCs w:val="1"/>
          <w:color w:val="auto"/>
        </w:rPr>
        <w:t>Item 8. 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Data—Notes to Consolidated Financial Statements—Note 2. Significant Accounting Policies </w:t>
      </w:r>
      <w:r>
        <w:rPr>
          <w:rFonts w:ascii="Times New Roman" w:cs="Times New Roman" w:eastAsia="Times New Roman" w:hAnsi="Times New Roman"/>
          <w:sz w:val="18"/>
          <w:szCs w:val="18"/>
          <w:color w:val="auto"/>
        </w:rPr>
        <w:t>for further information.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recognize revenue at the point in time when control is transferred to the customer, for example, when the product is shipped to the customer, when the patient has accepted the product or upon consumption in a surgical procedure.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 of sales primarily consists of costs of products purchased from our third-party suppliers, direct labor and allocated overhead associated with manufacturing and assembly, excess and obsolete inventory charges, shipping, inspection and related costs incurred in making our products available for sale or use. In addition, cost of sales includes depreciation related to production as well as amortization of product-related intellectual property and distribution rights associated with marketed products. Certain products are manufactured by or obtained from third-party suppliers primarily located in Japan, Switzerland, Sweden and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consists of net sales less cost of sales. We calculate gross margin as gross profit divided by net sales. Our gross margin has been and will continue to be affected by a variety of factors, including costs of products purchased from our third-party suppliers, manufacturing costs, product mix and implementation over time of cost-reduction strategies. We expect net sales and product mix to vary quarter by quarter and therefore our gross profit will likely fluctuate from quarter to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benefits and other related costs, including equity-based compensation, for personnel employed in sales, marketing, finance, legal, compliance, administrative, information technology, medical education and training, quality and human resource departments. Selling, general and administrative expense also includes third-party marketing, supply chain and distribution, product recall costs, information technology, legal, human resources, insurance and facilities expenses, selling, general and administrative expenses also include commissions, generally based on a percentage of sales, to our direct sales team and independent distributors. We expect our selling, general and administrative expenses will increase with the continued expansion of our sales organization and marketization of our current and pipeline products. We plan to hire more personnel to support the growth of our business. However, over time, as we grow our net sales, we expect selling, general and administrative expenses to decline as a percentage of net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primarily consists of employee compensation, equity-based compensation and related expenses, as well as contract research organization service expenses related to clinical trials. We expense internal research and development costs as incurred and research and development costs incurred by third parties as they perform contracted work. Our research and development expenses may vary substantially from period to period based on the timing of research and development activities. We are focused on internal research and development to broaden our portfolio across all products and undertake clinical research to support their marketization. As a result, we expect our research and development expenses to vary from low to the mid-single digits as a percentage of net sales as we introduce new products, extend existing product lines and expand indications. We see significant opportunity to develop innovative and clinically differentiated products in-house with our experienced research and development team. Clinical and preclinical development timelines, the probability of success and development costs can differ materially from expectations.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restructured portions of our operations and future restructuring activities are possible. Identifying and calculating the cost to exit operations requires certain assumptions, the most significant of which are anticipated future liabilities. Although our estimates have been reasonably accurate in the past, significant judgment is required, and these estimates and assumptions may change as additional information becomes available and facts or circumstances change. Restructuring costs are recorded at estimated fair value. Key assumptions in determining the restructuring costs include negotiated terms and payments to terminate contractual obligations. In 2025, restructuring costs primarily related to severance costs associated with the elimination of several positions in order to optimize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primarily consists of depreciation of computer equipment and software as well as demonstration and consignment inventory, leasehold improvements, furniture, fixtures, machinery and equipment. Amortization expense primarily consists of amortization expense related to customer relationships and other intangible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primarily consists of interest on our indebtedness, which currently consists of our term loan and revolving credit facility, which was incurred pursuant to the 2025 Credit Agreement. We have entered into interest rate swaps to limit our exposure to changes in the variable interest rate on our 2025 Term Loan. Interest expense includes any fair value gain or losses on these swaps.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primarily consists of foreign currency transaction and remeasurement gains and losses on transactions denominated in currencies other than our functional currency. Our foreign currency transaction and remeasurement gains and losses are primarily related to cash, liabilities and intercompany receivables and payables denominated in foreign currency. Other expense may also include certain nonrecurring items.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subsidiary, Bioventus LLC (“BV LLC”), is a partnership for U.S. federal tax purposes. Accordingly, the members include the profits and losses of BV LLC in their income tax returns. Certain wholly-owned subsidiaries of BV LLC are taxable entities for U.S. or foreign tax purposes and file tax returns in their local jurisdictions. Bioventus Inc. is subject to U.S. federal, state and local income taxes at the prevailing corporate tax rates with respect to our taxable income. In addition to tax expenses, we are obligated to make payments under the tax receivable agreement (“TRA”), which could be significant. The TRA obligates us to pay to Smith &amp; Nephew, Inc. (“Continuing LLC Owner”) 85% of the amount of any realized tax benefits (or in some circumstances are deemed to realize) resulting from (i) increases in the tax basis of assets of BV LLC as a result of (a) any future redemptions or exchanges of LLC Interests and (b) certain distributions (or deemed distributions) by BV LLC and (ii) certain other tax benefits arising from payments we make under the TRA. For more information, see </w:t>
      </w:r>
      <w:r>
        <w:rPr>
          <w:rFonts w:ascii="Times New Roman" w:cs="Times New Roman" w:eastAsia="Times New Roman" w:hAnsi="Times New Roman"/>
          <w:sz w:val="18"/>
          <w:szCs w:val="18"/>
          <w:i w:val="1"/>
          <w:iCs w:val="1"/>
          <w:color w:val="auto"/>
        </w:rPr>
        <w:t>Item 8. Financial Statements and Supplementary Data—Notes to Consolidated Financial Statements—Note 11.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for additional information.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includes U.S. federal, state and international income taxes, including certain taxes applicable to BV LLC. Certain income and expense items in income tax returns are not reported in the same year as financial statements. We report the income tax effects of these differences as deferred income taxes. Valuation allowances recognized reduce the related deferred tax assets to an amount which are more likely than not to be realized. We recognize interest and penalties related to unrecognized tax benefits as a component of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is a useful indicator that management uses to measure operating performance and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(loss) before depreciation and amortization, provision of income taxes and interest expense, net, adjusted for the impact of certain cash, non-cash and other items that we do not consider in our evaluation of ongoing operating performance. These items include acquisition and divestiture related costs, certain shareholder litigation costs, impairment of assets, restructuring costs, equity-based compensation expense, debt refinancing, loss on extinguishment of debt, and other items. Adjusted EBITDA by segment consists of net sales and costs directly attributable to a segment, as well as an allocation of corporate overhead costs primarily based on a ratio of net sales by segment to total consolidated net sales.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as an analytical tool and should not be considered in isolation or as a substitute for, or as superior to, the financial information prepared and presented in accordance with U.S. GAAP. These measures might exclude certain normal recurring expenses. Therefore, these measures might not provide a complete understanding of the Company's performance and should be reviewed in conjunction with the U.S. GAAP financial measures. Additionally, other companies might define their non-GAAP financial measures differently than we do. Investors are encouraged to review the reconciliation of the non-GAAP measure provided in this Annual Report on Form 10-K, including all tables referencing Adjusted EBITDA to its most directly comparable U.S. GAAP measure.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components of our consolidated statements of operations as a percentage of net sales for the periods presented:</w:t>
      </w:r>
    </w:p>
    <w:p>
      <w:pPr>
        <w:spacing w:after="0" w:line="15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 (including depreciation and amortization)</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disposals</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27,274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(47,049)</w:t>
            </w: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net</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47,011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49,555</w:t>
            </w:r>
          </w:p>
        </w:tc>
        <w:tc>
          <w:tcPr>
            <w:tcW w:w="0" w:type="dxa"/>
            <w:vAlign w:val="bottom"/>
          </w:tcPr>
          <w:p>
            <w:pPr>
              <w:spacing w:after="0"/>
              <w:rPr>
                <w:sz w:val="1"/>
                <w:szCs w:val="1"/>
                <w:color w:val="auto"/>
              </w:rPr>
            </w:pPr>
          </w:p>
        </w:tc>
      </w:tr>
      <w:tr>
        <w:trPr>
          <w:trHeight w:val="27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related costs</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0" w:type="dxa"/>
            <w:vAlign w:val="bottom"/>
          </w:tcPr>
          <w:p>
            <w:pPr>
              <w:spacing w:after="0"/>
              <w:rPr>
                <w:sz w:val="1"/>
                <w:szCs w:val="1"/>
                <w:color w:val="auto"/>
              </w:rPr>
            </w:pPr>
          </w:p>
        </w:tc>
      </w:tr>
      <w:tr>
        <w:trPr>
          <w:trHeight w:val="27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12,673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7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r>
              <w:rPr>
                <w:rFonts w:ascii="Times New Roman" w:cs="Times New Roman" w:eastAsia="Times New Roman" w:hAnsi="Times New Roman"/>
                <w:sz w:val="23"/>
                <w:szCs w:val="23"/>
                <w:color w:val="auto"/>
                <w:vertAlign w:val="superscript"/>
              </w:rPr>
              <w:t>(f)</w:t>
            </w:r>
          </w:p>
        </w:tc>
        <w:tc>
          <w:tcPr>
            <w:tcW w:w="22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r>
              <w:rPr>
                <w:rFonts w:ascii="Times New Roman" w:cs="Times New Roman" w:eastAsia="Times New Roman" w:hAnsi="Times New Roman"/>
                <w:sz w:val="23"/>
                <w:szCs w:val="23"/>
                <w:color w:val="auto"/>
                <w:vertAlign w:val="superscript"/>
              </w:rPr>
              <w:t>(g)</w:t>
            </w:r>
          </w:p>
        </w:tc>
        <w:tc>
          <w:tcPr>
            <w:tcW w:w="22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r>
              <w:rPr>
                <w:rFonts w:ascii="Times New Roman" w:cs="Times New Roman" w:eastAsia="Times New Roman" w:hAnsi="Times New Roman"/>
                <w:sz w:val="23"/>
                <w:szCs w:val="23"/>
                <w:color w:val="auto"/>
                <w:vertAlign w:val="superscript"/>
              </w:rPr>
              <w:t>(h)</w:t>
            </w:r>
          </w:p>
        </w:tc>
        <w:tc>
          <w:tcPr>
            <w:tcW w:w="22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0" w:type="dxa"/>
            <w:vAlign w:val="bottom"/>
          </w:tcPr>
          <w:p>
            <w:pPr>
              <w:spacing w:after="0"/>
              <w:rPr>
                <w:sz w:val="1"/>
                <w:szCs w:val="1"/>
                <w:color w:val="auto"/>
              </w:rPr>
            </w:pP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 business</w:t>
            </w:r>
            <w:r>
              <w:rPr>
                <w:rFonts w:ascii="Times New Roman" w:cs="Times New Roman" w:eastAsia="Times New Roman" w:hAnsi="Times New Roman"/>
                <w:sz w:val="23"/>
                <w:szCs w:val="23"/>
                <w:color w:val="auto"/>
                <w:vertAlign w:val="superscript"/>
              </w:rPr>
              <w:t>(i)</w:t>
            </w:r>
          </w:p>
        </w:tc>
        <w:tc>
          <w:tcPr>
            <w:tcW w:w="220" w:type="dxa"/>
            <w:vAlign w:val="bottom"/>
          </w:tcPr>
          <w:p>
            <w:pPr>
              <w:spacing w:after="0"/>
              <w:rPr>
                <w:sz w:val="23"/>
                <w:szCs w:val="2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(j)</w:t>
            </w: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116,277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108,882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55"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for the years ended December 31, 2025 and 2024, respectively, depreciation and amortization of $41.3 million and $41.9 million in cost of sales and $5.7 million and $7.7 million in operating expenses presented in the consolidated statements of operations and comprehensive income (loss).</w:t>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(b)</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acquisition and integration costs related to completed acquisitions and changes in fair value of contingent consideration.</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incurred as a result of certain shareholder litigation unrelated to our ongoing operations.</w:t>
      </w:r>
    </w:p>
    <w:p>
      <w:pPr>
        <w:spacing w:after="0" w:line="63" w:lineRule="exact"/>
        <w:rPr>
          <w:sz w:val="20"/>
          <w:szCs w:val="20"/>
          <w:color w:val="auto"/>
        </w:rPr>
      </w:pPr>
    </w:p>
    <w:p>
      <w:pPr>
        <w:sectPr>
          <w:pgSz w:w="11900" w:h="16838" w:orient="portrait"/>
          <w:cols w:equalWidth="0" w:num="2">
            <w:col w:w="460" w:space="180"/>
            <w:col w:w="10600"/>
          </w:cols>
          <w:pgMar w:left="320" w:top="121" w:right="339" w:bottom="1440" w:gutter="0" w:footer="0" w:header="0"/>
          <w:type w:val="continuous"/>
        </w:sectPr>
      </w:pPr>
    </w:p>
    <w:p>
      <w:pPr>
        <w:jc w:val="both"/>
        <w:ind w:left="660" w:hanging="328"/>
        <w:spacing w:after="0" w:line="235"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in 2025 primarily related to severance associated with the elimination of several positions and the consolidation of certain administrative functions and roles. Costs incurred during 2024 reflect a reversal of expenses associated with employee transitions resulting from the sale of the Advanced Rehabilitation Business and certain contract terminations.</w:t>
      </w:r>
    </w:p>
    <w:p>
      <w:pPr>
        <w:spacing w:after="0" w:line="7"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compensation expense resulting from awards granted under our equity-based compensation plans.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55"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refinancing in 2025 related to certain third-party fees associated with our 2025 Credit Agreement. Activity in 2024 is attributable to advisory fees and debt amendment related costs related to our 2019 Credit and Guaranty Agreement, as amended.</w:t>
      </w:r>
    </w:p>
    <w:p>
      <w:pPr>
        <w:spacing w:after="0" w:line="5"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Losses recognized in connection with the refinancing of long-term debt.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42" w:lineRule="auto"/>
        <w:tabs>
          <w:tab w:leader="none" w:pos="648"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non-cash impairment charge of $33.9 million for intangible assets solely attributable to our Advanced Rehabilitation Business, driven by the decision to divest and a $2.5 million non-cash impairment charge for right-of-use assets associated with exited office and warehouse spaces.</w:t>
      </w:r>
    </w:p>
    <w:p>
      <w:pPr>
        <w:spacing w:after="0" w:line="3" w:lineRule="exact"/>
        <w:rPr>
          <w:rFonts w:ascii="Times New Roman" w:cs="Times New Roman" w:eastAsia="Times New Roman" w:hAnsi="Times New Roman"/>
          <w:sz w:val="22"/>
          <w:szCs w:val="22"/>
          <w:color w:val="auto"/>
          <w:vertAlign w:val="superscript"/>
        </w:rPr>
      </w:pPr>
    </w:p>
    <w:p>
      <w:pPr>
        <w:ind w:left="640" w:hanging="308"/>
        <w:spacing w:after="0"/>
        <w:tabs>
          <w:tab w:leader="none" w:pos="64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loss on the disposal of the Advanced Rehabilitation Business.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9"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year ended December 31, 2025 primarily consisted of $0.5 million of expenses related to the divestiture of the Advanced Rehabilitation Business, which was completed on December 31, 2024.</w:t>
      </w:r>
    </w:p>
    <w:p>
      <w:pPr>
        <w:spacing w:after="0" w:line="35" w:lineRule="exact"/>
        <w:rPr>
          <w:rFonts w:ascii="Times New Roman" w:cs="Times New Roman" w:eastAsia="Times New Roman" w:hAnsi="Times New Roman"/>
          <w:sz w:val="23"/>
          <w:szCs w:val="23"/>
          <w:color w:val="auto"/>
          <w:vertAlign w:val="superscript"/>
        </w:rPr>
      </w:pPr>
    </w:p>
    <w:p>
      <w:pPr>
        <w:ind w:left="66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year ended December 31, 2024 primarily consisted of $4.7 million, net of transactional fees, of expenses related to the divestiture of the Advanced Rehabilitation Business and transformative project costs of $1.7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248,237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234,936</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$4.7 million, or 0.9%, compared to the prior year. Net sales from Pain Treatments increased $13.3 million, driven by volume growth in Durolane. Net sales from Surgical Solutions increased $12.7 million due to volume growth in BGS and Ultrasonics. The $30.7 million decrease in net sales from Restorative Therapies was driven by the divestiture of the Advanced Rehabilitation Business, which contributed $38.2 million in net sales during the prior year. This decrease was partially offset by a $6.5 million increase in our net sales for our EXOGEN Bone Stimulation System.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$0.5 million, or 0.7%, primarily due to the divestiture of the Advanced Rehabilitation Business, which contributed $7.3 million in net sales during the prior year. This decrease was mostly offset by volume growth in Pain Treatments for Durolane and in Surgical Solutions for Ultrasonics.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208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14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350,004</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348,953</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5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388,157</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88"/>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00" w:type="dxa"/>
            <w:vAlign w:val="bottom"/>
          </w:tcPr>
          <w:p>
            <w:pPr>
              <w:spacing w:after="0"/>
              <w:rPr>
                <w:sz w:val="16"/>
                <w:szCs w:val="16"/>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Pr>
          <w:p>
            <w:pPr>
              <w:spacing w:after="0"/>
              <w:rPr>
                <w:sz w:val="19"/>
                <w:szCs w:val="19"/>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tcPr>
          <w:p>
            <w:pPr>
              <w:spacing w:after="0"/>
              <w:rPr>
                <w:sz w:val="19"/>
                <w:szCs w:val="19"/>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$1.1 million, or 0.3%, compared to the prior year, primarily driven by volume growth in Durolane, BGS and our EXOGEN Bone Stimulation System. This increase was partially offset by a $21.3 million reduction resulting from the divestiture of the Advanced Rehabilitation Business. Gross margin increased 0.8% in comparison to the prior year. This improvement was driven by a favorable product mix within BGS as well as enhanced collections associated with our EXOGEN Bone Stimulation System. These gains were partially offset by freight and tariff costs, as well as shifts in channel mix.</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$1.1 million, or 2.9%, due to a $4.0 million reduction resulting from the divestiture of the Advanced Rehabilitation Business. This reduction was partially offset by growth from Durolane and the EXOGEN Bone Stimulation System. Gross margin decreased 1.3% due to product and country mix.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6"/>
                <w:szCs w:val="16"/>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314,026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343,798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(29,772)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$29.8 million, or 8.7%, primarily due to: (i) a $14.5 million decrease in compensation-related costs, partially attributable to the sale of the Advanced Rehabilitation Business; (ii) a $13.8 million reduction in shareholder litigation costs settled during 2024; and (iii) a $2.3 million decrease in administrative 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6"/>
                <w:szCs w:val="16"/>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$1.8 million, or 13.2%, primarily due to: (i) a $1.6 million reduction in consulting expenses resulting from the completion of certain projects; and (ii) a $0.7 million decrease in compensation related costs. These decreases were partially offset by a $0.3 million increase in stock-based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NM - Not Meaningful</w:t>
            </w:r>
          </w:p>
        </w:tc>
        <w:tc>
          <w:tcPr>
            <w:tcW w:w="3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in 2025 primarily related to severance costs associated with the elimination of several positions in order to optimize our organizational structure. In 2024, there were expense reversals related to employee transition agreements associated with the sale of the Advanced Rehabilitation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3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8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Activity from the change in fair value of contingent consideration relates to the acquisition of Bioness in 2021. Certain milestones were achieved during the fourth quarter of 2024, and as a result, we ceased revaluing the contingent consideration liability in 2025. We made contingent consideration payments totaling $19.8 million during 2025, which fully settled the Bioness contingent consideration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38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during the year ended December 31, 2025 compared with the prior year primarily due to certain information technology assets being fully depreciated in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evaluated the Advanced Rehabilitation Business for impairment following our decision to divest. Based on this evaluation, we recorded a $33.9 million impairment to reduce intangible assets to fair value less costs to sell, using the consideration agreed upon with the purchaser. Additionally, we recognized $2.5 million of impairment losses during the year ended December 31, 2024 for two right-of-use assets—office and warehouse spaces—that the Company exited during the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disposals during the years ended December 31, 2025 and 2024 related to the sale of the Advanced Rehabilitation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16"/>
                <w:szCs w:val="16"/>
                <w:color w:val="auto"/>
              </w:rPr>
            </w:pPr>
          </w:p>
        </w:tc>
        <w:tc>
          <w:tcPr>
            <w:tcW w:w="12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during the year ended December 31, 2025 compared to the prior year. This decrease was due to lower debt outstanding and a reduction in interest rates and applicable margins. Loss on extinguishment of debt recognized during the year ended December 31, 2025 was directly related to the refinancing of our debt obligations.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during 2025 was driven primarily by foreign currency losses. Other income, net during 2024 primarily reflected foreign currency gains, inclusive of a $1.0 million gain related to the recognition of previously unrealized gains and losses on the assets and liabilities of the Advanced Rehabilitation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6"/>
                <w:szCs w:val="16"/>
                <w:color w:val="auto"/>
              </w:rPr>
            </w:pPr>
          </w:p>
        </w:tc>
        <w:tc>
          <w:tcPr>
            <w:tcW w:w="11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of 6.1% for the year ended December 31, 2025 was attributable to the release of reserves for uncertain tax positions and a positive change in the valuation allowance on deferred tax assets due to the utilization of net operating loss carryforwards. The effective rate was 10.1% for the year ended December 31, 2024 due to the recognition of deferred tax benefits from recorded impairments.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IPO and related transactions, we became the sole managing member of BV LLC, holding ownership interests of 81.0% and 80.6% as of December 31, 2025 and 2024, respectively. We consolidate BV LLC’s financial statements as we have both a majority economic interest and sole voting control over BV LLC. The portion of BV LLC not owned by us—19.0% as of December 31, 2025—is reflected as a noncontrolling interest, representing the share of BV LLC owned by the Continuing LLC Owner. Period-over-period changes in noncontrolling interest reflect the allocation of net income or loss attributable to the Continuing LLC Owner.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each of our reportable segments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900"/>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increased $5.5 million, or 5.8%, compared to the prior year period, reflecting lower operating expenses, including: (i) a $5.1 million reduction in selling, general and administrative expenses, most of which was attributable to the divestiture of the Advanced Rehabilitation Business and the corresponding decrease in compensation-related costs; and (ii) a $1.9 million decrease in research and development expenses due to lower consulting costs as certain research and development projects were completed. These improvements were partially offset by a $1.9 million increase in other expense driven by unfavorable movements in foreign currency.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$1.8 million or 13.7%, compared to the prior year period. The increase was primarily driven by lower selling, general and administrative expenses, partially offset by lower gross profit primarily resulting from the divestiture of the Advanced Rehabilitation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liquidity needs have historically been for acquisitions, working capital, research and development, clinical trials, and capital expenditures. We expect these needs to continue as we develop and market new products and further expand into international markets.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2024, we closed the sale of the Advanced Rehabilitation Business, which was considered non-core and required additional research and development expenditures to achieve its next stage of growth. We received cash proceeds of $24.7 million at closing, net of transactional fees, which were subject to a post-closing adjustment for net working capital. We paid $0.7 million in the second quarter of 2025 to settle the adjustment for net working capital. Net proceeds from the transaction were used to pay $20.0 million in long-term debt obligations on December 31, 2024. We may also receive up to an additional $20.0 million in contingent earn-out payments, based on the achievement of certain revenue and financial performance thresholds related to the Advanced Rehabilitation Business during the fiscal years ending December 31, 2025 and 2026. The revenue and specified financial performance criteria for the fiscal year ended December 31, 2025 were not achieved.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we entered into the 2025 Credit Agreement that provides for a $300.0 million term loan (the “2025 Term Loan”) and a $100.0 million revolving credit facility (the “2025 Revolver”). Proceeds from the 2025 Credit Agreement, including $30.0 million in borrowings under its revolver and $2.6 million in available cash, were used to fully repay the outstanding balance under the 2019 Credit and Guaranty Agreement, as amended, which totaled $332.6 million as of July 31,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Agreement is expected to provide $2.0 million of annual interest expense savings, increased liquidity and extended debt maturity to July 2030. On August 1, 2025, we entered into two interest rate swaps to mitigate the interest rate risk associated with our floating-rate SOFR-based borrowings under the 2025 Credit Agreement. Under the terms of swaps, we pay a fixed interest rate in exchange for SOFR-based variable interest throughout the life of the instruments. The interest rate swaps have a weighted average fixed interest rate of 3.60% and an aggregate notional value of $150.0 million, or 50.0% of the 2025 Term Loan.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rate is subject to adjustment based on our leverage ratio. Swingline loans are available as base rate option loans and LOCs are limited to $7.5 million under the 2025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$97.8 million available on the 2025 Revolver, net of $2.2 million in outstanding LOCs. This availability, combined with our existing cash balances and expected cash flows from operations, provides us with sufficient liquidity to meet our near-term obligations and support ongoing operations for the next twelve months.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to the extent additional capital is required, we will seek funding through a combination of equity financings, the incurrence of additional indebtedness, or other strategic sources of capital. Our ability to access these sources will depend on market conditions, our financial performance, and other factors.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explore divestiture opportunities for non-core assets to improve our liquidity position.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If we raise additional funds through collaboration and licensing arrangements with third parties, it might be necessary to relinquish valuable rights to our products, future revenue streams or product candidates, or to grant licenses on terms that might not be favorable to us. We cannot be certain that additional funding will be available on acceptable terms, or at all. Any failure to raise capital in the future might have a negative impact on our financial condition and our ability to pursue our business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estimated future cash requirements under our various contractual obligations committed to as of December 31, 2025 in total and disaggregated into current and long-term obligations.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85,572</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liabilities</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w:t>
            </w:r>
          </w:p>
        </w:tc>
      </w:tr>
      <w:tr>
        <w:trPr>
          <w:trHeight w:val="230"/>
        </w:trPr>
        <w:tc>
          <w:tcPr>
            <w:tcW w:w="6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48,763</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451,618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60" w:hanging="328"/>
        <w:spacing w:after="0" w:line="230" w:lineRule="auto"/>
        <w:tabs>
          <w:tab w:leader="none" w:pos="655"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8. Financial Statements and Supplementary Data—Notes to the Consolidated Financial Statements—Note 5. Financial Instruments</w:t>
      </w:r>
      <w:r>
        <w:rPr>
          <w:rFonts w:ascii="Times New Roman" w:cs="Times New Roman" w:eastAsia="Times New Roman" w:hAnsi="Times New Roman"/>
          <w:sz w:val="18"/>
          <w:szCs w:val="18"/>
          <w:color w:val="auto"/>
        </w:rPr>
        <w:t xml:space="preserve"> in this Annual Report for further information regarding long-term debt obligations.</w:t>
      </w:r>
    </w:p>
    <w:p>
      <w:pPr>
        <w:spacing w:after="0" w:line="34" w:lineRule="exact"/>
        <w:rPr>
          <w:rFonts w:ascii="Times New Roman" w:cs="Times New Roman" w:eastAsia="Times New Roman" w:hAnsi="Times New Roman"/>
          <w:sz w:val="23"/>
          <w:szCs w:val="23"/>
          <w:color w:val="auto"/>
          <w:vertAlign w:val="superscript"/>
        </w:rPr>
      </w:pPr>
    </w:p>
    <w:p>
      <w:pPr>
        <w:ind w:left="660" w:hanging="328"/>
        <w:spacing w:after="0" w:line="230"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8. Financial Statements and Supplementary Data—Notes to the Consolidated Financial Statements—Note 12.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this Annual Report for further information regarding operating and finance lease liabilities.</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that are contractually committed to as of December 31, 2025 related to multi-year exclusive supply agreements. Generally, our purchase obligations under these supply agreements are based on forecasted requirements, subject in some cases to an annual contractual minimum.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Cash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enter into contracts in the normal course of business with various third parties for development, collaboration and other services for operating purposes. These contracts provide for termination upon notice. Payments due upon cancellation generally consist only of payments for services provided or expenses incurred, including non-cancellable obligations of our service providers, up to the date of cancellation. Certain agreements include contingent events that upon occurrence would require payment. For information regarding Commitments and Contingencies, refer to </w:t>
      </w:r>
      <w:r>
        <w:rPr>
          <w:rFonts w:ascii="Times New Roman" w:cs="Times New Roman" w:eastAsia="Times New Roman" w:hAnsi="Times New Roman"/>
          <w:sz w:val="18"/>
          <w:szCs w:val="18"/>
          <w:i w:val="1"/>
          <w:iCs w:val="1"/>
          <w:color w:val="auto"/>
        </w:rPr>
        <w:t>Item 8.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in this Annual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BV LLC Agreement provides for the payment of certain distributions to the Continuing LLC Owner in amounts sufficient to cover the income taxes imposed with respect to the allocation of taxable income from BV LLC as well as obligations within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our ability to, subject to negotiated exceptions, incur additional indebtedness, liens on our assets, engage in acquisitions or dispositions, pay dividends or make other distributions, enter into transactions with affiliated persons, make investments, change the nature of our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4.00 to 1.00 for the quarter ending September 30, 2025 through the quarter ending December 31, 2025, and starting with the fiscal quarter ending March 31, 2026 and for each fiscal quarter thereafter, a maximum consolidated total net leverage ratio of 3.50 to 1.00. We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We were in compliance with the financial covenants under the 2025 Credit Agreement as of December 31, 2025, and expect to remain in compliance for the next twelve months. We do not expect any of these covenants or restrictions to affect or limit our ability to conduct business in the ordinary course.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$294.0 million outstanding under the 2025 Term Loan, net of original issue discount and deferred financing costs, and no outstanding borrowings under the 2025 Revolver.</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8. Financial Statements and Supplementary Data—Notes to the Consolidated Financial Statements—Note 5. Financial Instruments</w:t>
      </w:r>
      <w:r>
        <w:rPr>
          <w:rFonts w:ascii="Times New Roman" w:cs="Times New Roman" w:eastAsia="Times New Roman" w:hAnsi="Times New Roman"/>
          <w:sz w:val="18"/>
          <w:szCs w:val="18"/>
          <w:color w:val="auto"/>
        </w:rPr>
        <w:t xml:space="preserve"> for further details on the Company’s indebtedness.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31, 2025 totaled $51.2 million, compared to $41.6 million as of December 31, 2024. As of December 31, 2025, $41.3 million and $9.9 million of our cash and cash equivalents was held within the U.S. and International segments, respectively. The change in cash was primarily due to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inflows from operating activities increased $35.9 million due to cash collections on net sales, lower interest payments due to favorable interest rates and reduced debt levels, and one-time charges in 2024 including the payment of certain shareholder litigation costs and expenses related to the divestiture of the Advanced Rehabilitation Business. These operating inflows were partially offset by higher rebate and compensation-related payments.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from investing activities decreased $26.2 million for the year ended December 31, 2025 compared to the prior year. Investing cash flows for 2025 primarily consisted of $2.6 million in capital expenditures, largely related to information technology investments, and a $0.7 million working capital settlement associated with the sale of the Advanced Rehabilitation Business. Investing cash flows for 2024 consisted of $24.7 million in proceeds from the sale of the Advanced Rehabilitation Business and $1.7 million in capital expenditures and the purchase of distribution rights.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Net cash outflows from financing activities increased $7.6 million for the year ended December 31, 2025 compared to the prior year. The increase in cash outflow was driven by a $19.8 million contingent consideration payment related to the acquisition of Bioness in 2021 and the receipt of $4.5 million of deferred consideration in 2024 associated with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sale of the Wound Business. These cash flows were partially offset by the impact of revolving credit facility activity, as we made $15.0 million of payments on revolving credit facilities during 2024, whereas 2025 activity consisted of offsetting borrowings and repayments in 2025, resulting in no net change in financing cash flows for the year. Also contributing to the offset was $2.2 million in net cash inflows related to the refinancing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obligations, including proceeds from the 2025 Credit Agreement, principal payments, and associated financing costs.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8. Financial Statements and Supplementary Data—Notes to the Consolidated Financial Statements—Note 2. Significant Accounting Policies</w:t>
      </w:r>
      <w:r>
        <w:rPr>
          <w:rFonts w:ascii="Times New Roman" w:cs="Times New Roman" w:eastAsia="Times New Roman" w:hAnsi="Times New Roman"/>
          <w:sz w:val="18"/>
          <w:szCs w:val="18"/>
          <w:color w:val="auto"/>
        </w:rPr>
        <w:t xml:space="preserve"> for information regarding accounting pronouncements that may impact our financial statements in future periods.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us to make assumptions, estimates and judgments that affect the reported amounts of assets and liabilities, the disclosures of contingent assets and liabilities as of the date of the consolidated financial statements, and the reported amounts of sales and expenses during the reporting periods. Certain of our more critical accounting policies require the application of significant judgment by management in selecting the appropriate assumptions for calculating financial estimates. By their nature, these judgments are subject to an inherent degree of uncertainty.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use historical experience and other assumptions as the basis for our judgments in making these estimates. Because future events and their effects cannot be determined with precision, actual results could differ significantly from these estimates. Any changes in these estimates will be reflected in our consolidated financial statements as they occur. Refer to </w:t>
      </w:r>
      <w:r>
        <w:rPr>
          <w:rFonts w:ascii="Times New Roman" w:cs="Times New Roman" w:eastAsia="Times New Roman" w:hAnsi="Times New Roman"/>
          <w:sz w:val="18"/>
          <w:szCs w:val="18"/>
          <w:i w:val="1"/>
          <w:iCs w:val="1"/>
          <w:color w:val="auto"/>
        </w:rPr>
        <w:t>Item 8. Financial Statements and Supplementary Data—Notes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Statements—Note 2. Significant Accounting Policies </w:t>
      </w:r>
      <w:r>
        <w:rPr>
          <w:rFonts w:ascii="Times New Roman" w:cs="Times New Roman" w:eastAsia="Times New Roman" w:hAnsi="Times New Roman"/>
          <w:sz w:val="18"/>
          <w:szCs w:val="18"/>
          <w:color w:val="auto"/>
        </w:rPr>
        <w:t>for a further description of our significant accounting policies. The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below represent the most significant judgments and assumptions we use to prepare our consolidated financial statements and are important to understanding and interpreting our reported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Estimates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 Estimates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generally at a point in time upon transfer of control of the promised product to customers in an amount that reflects the consideration we expect to receive in exchange for those products. We exclude taxes collected from customers and remitted to governmental authorities from revenues.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are recorded at the transaction price, which is determined as the contracted price net of estimates of variable consideration resulting from discounts, rebates, returns, chargebacks, contractual allowances, estimated third-party payer settlements, and certain distribution and administration fees offered in customer contracts and other indirect customer contracts relating to the sale of products. We establish reserves for the estimated variable consideration based on the amounts earned or eligible to be claimed on the related sales. Where appropriate, these estimates take into consideration a range of possible outcomes, which are probability-weighted for relevant factors such as our historical experience, current contractual requirements, specific known market events and trends, industry data and forecasted customer buying and payment patterns. The amount of variable consideration is included in the transaction price only to the extent that it is probable that a significant reversal in the amount of the cumulative revenue recognized will not occur in a future period. We regularly update our reserves as new information becomes available, including newly received payer or customer invoices, by incorporating this information into our reserves at the end of each reporting period, as needed.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end of the third quarter of 2025, a large private insurance payer informed us that it had made changes to its claims data management and billing systems and that, as a result, we may experience significantly larger rebate volumes for our HA viscosupplement products than we had previously experienced. Using the expected value method, we estimated the variable consideration related to this contract based on the range of possible outcomes and the probabilities of each outcome. Rebates accrued under this contract, including the estimated impact of the billing system changes, totaled $16.4 million at December 31, 2025 compared to $14.4 million at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Allowances for Credit Losses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allowances for credit losses to provide for receivables we do not expect to collect. We base the allowance on an assessment of customer creditworthiness, historical payment experience, the age of outstanding receivables and other information, as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certain assets and liabilities at fair value. Fair value is defined as the price that would be received from selling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Assets and liabilities are categorized based on the lowest level that is significant to the valuation.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inputs used to measure fair value are as follows:</w:t>
      </w:r>
    </w:p>
    <w:p>
      <w:pPr>
        <w:spacing w:after="0" w:line="6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within Level 1, such as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This includes certain pricing models, discounted cash flow methodologies and similar techniques that use significant unobservable inputs.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identifiable assets acquired, liabilities assumed and any noncontrolling interest in an acquiree resulting from a business combination at their estimated fair values on the date of the acquisition. We generally have third-party valuations completed for intangible assets in a business combination using a discounted cash flow analysis, incorporating various assumptions. Goodwill represents the excess of the purchase price over the estimated fair value of the net assets acquired, including the amount assigned to identifiable intangible assets. The most significant estimates and assumptions inherent in a discounted cash flow analysis include the amount and timing of projected future cash flows, discount rate used to measure the risks inherent in the future cash flows, assessment of the asset’s life cycle, and competitive and other trends impacting the asset, including consideration of technical, legal, regulatory, economic and other factors. Each of these factors and assumptions can significantly affect the value of the intangible asset.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is the fair value of projects for which the related products have not received regulatory approval and have no alternative future use and is capitalized as an indefinite-lived intangible asset. Due to inherent uncertainty related to research and development, actual results could differ materially from the assumptions used in the discounted cash flow model. Additionally, there are risks including, but not limited to, delay or failure to receive regulatory requirements to conduct clinical trials, required market clearances, or patent issuance, and that the research and development project does not result in a successful product.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contingent consideration liabilities resulting from business combinations at estimated fair value on the acquisition date, and at each subsequent reporting period. Significant judgment is employed in determining the appropriateness of the estimates and assumptions as of the acquisition date and in post-acquisition periods. The Company initially values contingent consideration related to business combinations using a probability-weighted calculation of potential payment scenarios discounted at rates reflective of the risks associated with the expected future cash flows. Significant estimates and assumptions required for these valuations include the probability of achieving regulatory approval under specified time frames, product sales projections under various scenarios and discount rates used to calculate the present value of the estimated payments. After the initial valuation, the Company will use its best estimate to measure contingent consideration at each subsequent reporting period. Gains and losses are recorded in selling, general and administrative expenses within the consolidated statements of operations and comprehensive income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annually during the fourth quarter, or more frequently if events or changes in circumstances indicate that the asset might be impaired. We analyze all other indefinite-lived intangible assets qualitatively to determine if it is more likely than not that an impairment exists. If we meet the qualitative criteria, we perform a quantitative analysis to determine if an impairment exists. Our reporting units are U.S. and International and we analyze each reporting unit separately in our impairment evaluations.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we elected to perform a qualitative goodwill assessment to determine whether it is more likely than not that the carrying amount of any reporting unit exceeded its fair value. This qualitative assessment considered the totality of relevant financial and entity specific factors, and consisted of: (i) comparing the most recent fair value assessment performed in 2024 to the 2025 carrying value; (ii) comparing estimated long-term growth projections and future forecasts completed by third-party specialists in 2024 to updated 2025 projections prepared by management; and (iii) determining whether any events or circumstances occurred since the last quantitative analysis performed in 2024 that would have been likely to effect the fair value of the reporting unit. Based on the qualitative assessment, we concluded that it is not more likely than not that the fair value of any reporting unit is below its carrying value. Accordingly, a quantitative goodwill impairment test was not required.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impairment process in 2024 included applying a quantitative impairment analysis to the fair value of the reporting unit and comparing it to its carrying value. We used independent third-party valuation specialists and year-to-date October data to assist management in performing the 2024 annual impairment evaluation. We determined the fair value of U.S. and International reporting units based primarily on an income approach, which incorporated the use of a discounted free cash flow analysis. The discounted free cash flow analysis was based on significant judgments, including the current operating budgets, estimated long-term growth projections and future forecasts for each reporting unit. We discounted future cash flows based on a market comparable weighted average cost of capital rate for each reporting unit. The discount rates used in the discounted free cash flow analyses reflected the risks inherent in the expected future cash flows generated by the respective intangible assets. Market risk, industry risk and a small company premium had impact on the discount rate. The value of each reporting unit was determined on a stand-alone basis from the perspective of a market participant and represents the price we estimated we would have received in a sale of the reporting unit in an orderly transaction between market participants at the measurement date. Significant judgments inherent in this analysis included estimating the amount and timing of future cash flows and the selection of appropriate discount rates, royalty rates and long-term growth rate assumptions. Changes in estimates and assumptions could materially affect the determination of fair value for each reporting unit and could result in an impairment charge, which could be material to our financial position and results of operations.</w:t>
      </w:r>
    </w:p>
    <w:p>
      <w:pPr>
        <w:spacing w:after="0" w:line="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There were no goodwill impairment charges for the years ended December 31, 2025, 2024 or 2023. Refer to </w:t>
      </w:r>
      <w:r>
        <w:rPr>
          <w:rFonts w:ascii="Times New Roman" w:cs="Times New Roman" w:eastAsia="Times New Roman" w:hAnsi="Times New Roman"/>
          <w:sz w:val="18"/>
          <w:szCs w:val="18"/>
          <w:i w:val="1"/>
          <w:iCs w:val="1"/>
          <w:color w:val="auto"/>
        </w:rPr>
        <w:t>Item 8.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Data—Notes to the Consolidated Financial Statements—Note 3. Balance Sheet Information </w:t>
      </w:r>
      <w:r>
        <w:rPr>
          <w:rFonts w:ascii="Times New Roman" w:cs="Times New Roman" w:eastAsia="Times New Roman" w:hAnsi="Times New Roman"/>
          <w:sz w:val="18"/>
          <w:szCs w:val="18"/>
          <w:color w:val="auto"/>
        </w:rPr>
        <w:t>for further discussion regarding goodwill</w:t>
      </w:r>
      <w:r>
        <w:rPr>
          <w:rFonts w:ascii="Times New Roman" w:cs="Times New Roman" w:eastAsia="Times New Roman" w:hAnsi="Times New Roman"/>
          <w:sz w:val="18"/>
          <w:szCs w:val="18"/>
          <w:i w:val="1"/>
          <w:i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Equity-based compensation expense generated from the granting of restricted stock units represents the fair value of the stock measured at the market price on the date of grant. Restricted stock equity-based compensation expense is recognized over the vesting period.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Monte Carlo simulation model to determine equity-based compensation expense generated from the granting of performance restricted stock units. This model estimates total shareholder return for our Class A common stock relative to a peer group consisting of companies included in the Russell 2000 Medical Equipment Index, along with additional selected companies.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time-based stock options is determined using the Black-Scholes valuation model, with such value recognized as expense over the service period, net of actual forfeitures. Assumptions used in determining stock option fair value include the risk-free interest rate, expected dividend yield, expected price volatility, expected life of stock options and weighted-average fair value of stock options granted. The expected term of the options granted is estimated using the simplified method. Expected volatility is based on the historical volatility of our peers’ common stock. The risk-free interest rate is determined based upon a constant U.S. Treasury security rate with a contractual life that approximates the expected term of the option.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our annual effective tax rate, adjusted for discrete items, if any, that arise during the period. Each quarter, we update our estimate of our annual effective tax rate, and if the estimated annual effective tax rate changes, we make a cumulative adjustment in such period. The quarterly tax provision, and estimate of our annual effective tax rate, are subject to variation due to several factors, including variability in pre-tax income (or loss), the mix of jurisdictions to which such income relates, changes in how we conduct business, and tax law developments.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valuation allowance on certain deferred tax assets that we have determined are not more-likely-than-not to be realizable and assess the need for an adjustment to this valuation allowance on a quarterly basis. The assessment is based on estimates of future sources of taxable income for the jurisdictions in which we operate and the periods over which deferred tax assets will be realizable. In the event we determine we will be able to realize all or part of the net deferred tax assets in the future, all or part of the valuation allowance will be reversed in the period it is determined. The release of all or part of the valuation allowance against deferred tax assets may cause greater volatility in the effective tax rate in the periods in which it is reversed.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a tax benefit from any uncertain tax positions only if they are more likely than not to be sustained upon examination based on the technical merits of the position. The amount of the accrual for which an exposure exists is measured as the largest amount of benefit determined on a cumulative probability basis that we believe is more likely than not to be realized upon ultimate settlement of the position. Components of the reserve, if relevant, are classified as a current or noncurrent liability in the consolidated balance sheet based on when we expect each of the items to be settled. Interest and penalties related to unrecognized tax benefits are recognized as a component of income tax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 Status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reduced disclosure obligations relating to the presentation of financial statements in the “Management’s discussion and analysis of financial condition and results of operations” section and exemptions from the requirements of holding advisory “say-on-pay” votes on executive compensation and shareholder advisory votes on golden parachute compensation. We have availed ourselves of the reduced reporting obligations and executive compensation disclosure in this Annual Report and expect to continue to avail ourselves of the reduced reporting obligations available to emerging growth companies in future filings.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 emerging growth company can delay its adoption of certain accounting standards until those standards would otherwise apply to private companies. However, we are choosing to “opt out” of such extended transition period, and as a result, we plan to comply with any new or revised accounting standards on the relevant dates on which non-emerging growth companies must adopt such standards. Section 107 of the JOBS Act provides that our decision to opt out of the extended transition period for complying with new or revised accounting standards is irrevocable.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6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(the last day of our fiscal year following the fifth anniversary of the date of our IPO);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revenues of $1.235 billion or more;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 million or more as of the last business day of our second fiscal quarter, (2) have been required to file annual and quarterly reports under the Exchange Act for a period of at least 12 months, (3) have filed at least one annual report pursuant to the Exchange Act, and (4) are not eligible to use the requirements for smaller reporting companies as defined in Rule 12b-2 under the Exchange Act (annual revenue less than $100 million and either no public float or a public float of less than $700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2025, we determined that we no longer qualify as a “smaller reporting company,” as defined by Rule 12b-2 of the Exchange Act. Accordingly, we will not be able to avail ourselves of certain exemptions and relief from various reporting requirements available to smaller reporting companies beginning with our Quarterly Report on Form 10-Q for the quarterly period ended March 28, 2026. We will continue to be required to comply with the “accelerated filer” disclosure obligations, subject to certain exemptions and relief from various reporting requirements that are applicable to emerging growth companies.</w:t>
      </w:r>
    </w:p>
    <w:p>
      <w:pPr>
        <w:spacing w:after="0" w:line="1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7A.</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Quantitative and Qualitative Disclosures about Market Risk</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which may result in potential losses arising from adverse changes in market rates, such as interest rates and foreign exchange rates. We do not enter into derivatives or other financial instruments for trading or speculative purposes. We may use derivative instruments to manage exposures to interest rates and foreign currencies. Derivatives are recorded on the balance sheet at fair value at each balance sheet date. We have elected the fair value method of accounting and do not designate whether the derivative instrument is an effective hedge of an asset, liability or firm commitment. Changes in the fair values of derivative instruments are recognized in the consolidated statements of operations and comprehensive income (loss) in the period incurred.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and cash equivalents balance as of December 31, 2025 consisted of demand deposits and institutional money market funds held in U.S. and foreign banks. Cash equivalents consist of highly liquid investment securities with original maturities on the date of purchase of three months or less and can be exchanged for a known amount of cash. We are exposed to the market risk related to fluctuations in interest rates and market prices for our cash equivalents. We are also exposed to interest rate risk in connection with borrowings under our 2025 Credit Agreement, which bear interest at a floating rate based on three-month SOFR plus an applicable borrowing margin. As of December 31, 2025, a 1.0% increase in interest rate would result in a $12.0 million increase in total interest payable over the remaining life of the 2025 Term Loan, exclusive of any interest rate swap impact. For variable rate debt, interest rate changes generally do not affect the fair value of the 2025 Credit Agreement, but impact future earnings and cash flows, assuming other factors are constant. In the ordinary course of business, we may enter into contractual arrangements to reduce our exposure to interest rate risks, subject to any applicable limitations in our financing arrangements.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countries other than the United States and are exposed to foreign currency risks. We bill most direct sales outside of the United States in local currencies. We expect that the percentage of our sales denominated in foreign currencies will increase in the foreseeable future as we continue to expand into international markets. When sales or expenses are not denominated in U.S. Dollars, a fluctuation in exchange rates could affect our net income. We believe that the risk of a significant impact on our operating income from foreign currency fluctuations is minimal. Although we do not currently have any foreign currency hedges, we have used foreign exchange forward contracts in the past to protect against the impact of foreign currency fluctuations and may use forward contracts, derivatives or other hedges for foreign exchange risk management purposes in the future, subject to any applicable limitations in our financing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inflation has had a material effect on our results of operations during the periods presented herein.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Item 8.</w:t>
            </w:r>
          </w:p>
        </w:tc>
        <w:tc>
          <w:tcPr>
            <w:tcW w:w="948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Financial Statements and Supplementary Data.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Bioventus Inc.</w:t>
            </w: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14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248)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29"/>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30"/>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29"/>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30"/>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29"/>
        </w:trPr>
        <w:tc>
          <w:tcPr>
            <w:tcW w:w="10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 Organization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2. Significant Accounting Policies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3. Balance Sheet Information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4. Divestitures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5. Financial Instruments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6. Fair Value Measurements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7. Equity-Based 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8. Stockholders’ Equity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9. Earnings 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10. Restructuring Costs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11. Income Taxes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12. Commitments and Contingencies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13. Revenue Recognition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14. Segments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15. Discontinued Operations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Bioventus Inc.</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Bioventus Inc. (a Delaware corporation) and subsidiaries (the “Company”) as of December 31, 2025 and 2024, the related consolidated statements of operations and comprehensive income (loss),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512,345</w:t>
            </w:r>
          </w:p>
        </w:tc>
        <w:tc>
          <w:tcPr>
            <w:tcW w:w="0" w:type="dxa"/>
            <w:vAlign w:val="bottom"/>
          </w:tcPr>
          <w:p>
            <w:pPr>
              <w:spacing w:after="0"/>
              <w:rPr>
                <w:sz w:val="1"/>
                <w:szCs w:val="1"/>
                <w:color w:val="auto"/>
              </w:rPr>
            </w:pPr>
          </w:p>
        </w:tc>
      </w:tr>
      <w:tr>
        <w:trPr>
          <w:trHeight w:val="16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(including depreciation and amortization of $41,251, $41,882</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$48,503,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184,152</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328,193</w:t>
            </w: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303,879</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78,615</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disposals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(81,725)</w:t>
            </w: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40,676</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expense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39,386</w:t>
            </w: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(121,111)</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(121,196)</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(74,429)</w:t>
            </w: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(195,625)</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attributable to noncontrolling interest - continuing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24,458</w:t>
            </w:r>
          </w:p>
        </w:tc>
        <w:tc>
          <w:tcPr>
            <w:tcW w:w="0" w:type="dxa"/>
            <w:vAlign w:val="bottom"/>
          </w:tcPr>
          <w:p>
            <w:pPr>
              <w:spacing w:after="0"/>
              <w:rPr>
                <w:sz w:val="1"/>
                <w:szCs w:val="1"/>
                <w:color w:val="auto"/>
              </w:rPr>
            </w:pPr>
          </w:p>
        </w:tc>
      </w:tr>
      <w:tr>
        <w:trPr>
          <w:trHeight w:val="19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attributable to noncontrolling interest - discontinued operations</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0" w:type="dxa"/>
            <w:vAlign w:val="bottom"/>
          </w:tcPr>
          <w:p>
            <w:pPr>
              <w:spacing w:after="0"/>
              <w:rPr>
                <w:sz w:val="1"/>
                <w:szCs w:val="1"/>
                <w:color w:val="auto"/>
              </w:rPr>
            </w:pPr>
          </w:p>
        </w:tc>
      </w:tr>
      <w:tr>
        <w:trPr>
          <w:trHeight w:val="228"/>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Bioventus Inc.</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(156,230)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(195,625)</w:t>
            </w: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Change in prior service cost and unrecognized gain (loss)</w:t>
            </w:r>
          </w:p>
        </w:tc>
        <w:tc>
          <w:tcPr>
            <w:tcW w:w="3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 defined benefit plan adjustment</w:t>
            </w:r>
          </w:p>
        </w:tc>
        <w:tc>
          <w:tcPr>
            <w:tcW w:w="3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the fair value of cash flow hedges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(51,230)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(194,493)</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 - continuing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24,230</w:t>
            </w:r>
          </w:p>
        </w:tc>
        <w:tc>
          <w:tcPr>
            <w:tcW w:w="0" w:type="dxa"/>
            <w:vAlign w:val="bottom"/>
          </w:tcPr>
          <w:p>
            <w:pPr>
              <w:spacing w:after="0"/>
              <w:rPr>
                <w:sz w:val="1"/>
                <w:szCs w:val="1"/>
                <w:color w:val="auto"/>
              </w:rPr>
            </w:pPr>
          </w:p>
        </w:tc>
      </w:tr>
      <w:tr>
        <w:trPr>
          <w:trHeight w:val="19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 - discontinued operations</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w:t>
            </w:r>
          </w:p>
        </w:tc>
        <w:tc>
          <w:tcPr>
            <w:tcW w:w="0" w:type="dxa"/>
            <w:vAlign w:val="bottom"/>
          </w:tcPr>
          <w:p>
            <w:pPr>
              <w:spacing w:after="0"/>
              <w:rPr>
                <w:sz w:val="1"/>
                <w:szCs w:val="1"/>
                <w:color w:val="auto"/>
              </w:rPr>
            </w:pPr>
          </w:p>
        </w:tc>
      </w:tr>
      <w:tr>
        <w:trPr>
          <w:trHeight w:val="228"/>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Bioventus Inc.</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(155,326)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per share of Class A common stock from:</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Continuing operations—basic</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Discontinued operations—basic</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202"/>
        </w:trPr>
        <w:tc>
          <w:tcPr>
            <w:tcW w:w="6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 income (loss) per Class A common stock</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Continuing operations—diluted</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Discontinued operations—diluted</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203"/>
        </w:trPr>
        <w:tc>
          <w:tcPr>
            <w:tcW w:w="6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 income (loss) per Class A common stock</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66,622,631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64,547,474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62,647,554</w:t>
            </w:r>
          </w:p>
        </w:tc>
        <w:tc>
          <w:tcPr>
            <w:tcW w:w="0" w:type="dxa"/>
            <w:vAlign w:val="bottom"/>
          </w:tcPr>
          <w:p>
            <w:pPr>
              <w:spacing w:after="0"/>
              <w:rPr>
                <w:sz w:val="1"/>
                <w:szCs w:val="1"/>
                <w:color w:val="auto"/>
              </w:rPr>
            </w:pPr>
          </w:p>
        </w:tc>
      </w:tr>
      <w:tr>
        <w:trPr>
          <w:trHeight w:val="188"/>
        </w:trPr>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68,914,895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64,547,474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62,647,554</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December 31, 2025 and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41,582</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127,393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272,842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275,610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27,012</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404,729</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22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23,690</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135,879</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portion of contingent consideration</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210,398</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308,288</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455,112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542,352</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$0.001 par value, 10,000,000 shares authorized, 0 shares issued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 common stock, $0.001 par value, 250,000,000 shares authorized as of December 31, 2025 and</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December 31, 2024, 67,097,716 and 65,758,341 shares issued and outstanding as of December 31, 2025 and</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B common stock, $0.001 par value, 50,000,000 shares authorized,</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8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15,786,737 shares issued and outstanding as of December 31, 2025 and December 31, 2024</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508,092</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(357,661)</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 attributable to Bioventus Inc.</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184,105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147,940</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37,664</w:t>
            </w: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228,447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185,604</w:t>
            </w:r>
          </w:p>
        </w:tc>
        <w:tc>
          <w:tcPr>
            <w:tcW w:w="0" w:type="dxa"/>
            <w:vAlign w:val="bottom"/>
          </w:tcPr>
          <w:p>
            <w:pPr>
              <w:spacing w:after="0"/>
              <w:rPr>
                <w:sz w:val="1"/>
                <w:szCs w:val="1"/>
                <w:color w:val="auto"/>
              </w:rPr>
            </w:pPr>
          </w:p>
        </w:tc>
      </w:tr>
      <w:tr>
        <w:trPr>
          <w:trHeight w:val="22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6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tcPr>
          <w:p>
            <w:pPr>
              <w:jc w:val="center"/>
              <w:ind w:right="240"/>
              <w:spacing w:after="0" w:line="54" w:lineRule="exact"/>
              <w:rPr>
                <w:sz w:val="20"/>
                <w:szCs w:val="20"/>
                <w:color w:val="auto"/>
              </w:rPr>
            </w:pPr>
            <w:r>
              <w:rPr>
                <w:rFonts w:ascii="Times New Roman" w:cs="Times New Roman" w:eastAsia="Times New Roman" w:hAnsi="Times New Roman"/>
                <w:sz w:val="6"/>
                <w:szCs w:val="6"/>
                <w:b w:val="1"/>
                <w:bCs w:val="1"/>
                <w:color w:val="auto"/>
              </w:rPr>
              <w:t>controlling</w:t>
            </w:r>
          </w:p>
        </w:tc>
        <w:tc>
          <w:tcPr>
            <w:tcW w:w="112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Total Stockholders’</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5"/>
                <w:szCs w:val="15"/>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3"/>
        </w:trPr>
        <w:tc>
          <w:tcPr>
            <w:tcW w:w="2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62,063,014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412,222</w:t>
            </w:r>
          </w:p>
        </w:tc>
        <w:tc>
          <w:tcPr>
            <w:tcW w:w="0" w:type="dxa"/>
            <w:vAlign w:val="bottom"/>
          </w:tcPr>
          <w:p>
            <w:pPr>
              <w:spacing w:after="0"/>
              <w:rPr>
                <w:sz w:val="1"/>
                <w:szCs w:val="1"/>
                <w:color w:val="auto"/>
              </w:rPr>
            </w:pPr>
          </w:p>
        </w:tc>
      </w:tr>
      <w:tr>
        <w:trPr>
          <w:trHeight w:val="122"/>
        </w:trPr>
        <w:tc>
          <w:tcPr>
            <w:tcW w:w="21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 for</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1,204,422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(195,625)</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2,722</w:t>
            </w:r>
          </w:p>
        </w:tc>
        <w:tc>
          <w:tcPr>
            <w:tcW w:w="0" w:type="dxa"/>
            <w:vAlign w:val="bottom"/>
          </w:tcPr>
          <w:p>
            <w:pPr>
              <w:spacing w:after="0"/>
              <w:rPr>
                <w:sz w:val="1"/>
                <w:szCs w:val="1"/>
                <w:color w:val="auto"/>
              </w:rPr>
            </w:pPr>
          </w:p>
        </w:tc>
      </w:tr>
      <w:tr>
        <w:trPr>
          <w:trHeight w:val="127"/>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0" w:type="dxa"/>
            <w:vAlign w:val="bottom"/>
          </w:tcPr>
          <w:p>
            <w:pPr>
              <w:spacing w:after="0"/>
              <w:rPr>
                <w:sz w:val="1"/>
                <w:szCs w:val="1"/>
                <w:color w:val="auto"/>
              </w:rPr>
            </w:pPr>
          </w:p>
        </w:tc>
      </w:tr>
      <w:tr>
        <w:trPr>
          <w:trHeight w:val="163"/>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63,267,436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494,254</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(321,536)</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47,527</w:t>
            </w:r>
          </w:p>
        </w:tc>
        <w:tc>
          <w:tcPr>
            <w:tcW w:w="10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221,118</w:t>
            </w:r>
          </w:p>
        </w:tc>
        <w:tc>
          <w:tcPr>
            <w:tcW w:w="0" w:type="dxa"/>
            <w:vAlign w:val="bottom"/>
          </w:tcPr>
          <w:p>
            <w:pPr>
              <w:spacing w:after="0"/>
              <w:rPr>
                <w:sz w:val="1"/>
                <w:szCs w:val="1"/>
                <w:color w:val="auto"/>
              </w:rPr>
            </w:pPr>
          </w:p>
        </w:tc>
      </w:tr>
      <w:tr>
        <w:trPr>
          <w:trHeight w:val="127"/>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Class A common stock for</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2,490,905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2,442</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(47,049)</w:t>
            </w:r>
          </w:p>
        </w:tc>
        <w:tc>
          <w:tcPr>
            <w:tcW w:w="0" w:type="dxa"/>
            <w:vAlign w:val="bottom"/>
          </w:tcPr>
          <w:p>
            <w:pPr>
              <w:spacing w:after="0"/>
              <w:rPr>
                <w:sz w:val="1"/>
                <w:szCs w:val="1"/>
                <w:color w:val="auto"/>
              </w:rPr>
            </w:pPr>
          </w:p>
        </w:tc>
      </w:tr>
      <w:tr>
        <w:trPr>
          <w:trHeight w:val="127"/>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13,274</w:t>
            </w: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0" w:type="dxa"/>
            <w:vAlign w:val="bottom"/>
          </w:tcPr>
          <w:p>
            <w:pPr>
              <w:spacing w:after="0"/>
              <w:rPr>
                <w:sz w:val="1"/>
                <w:szCs w:val="1"/>
                <w:color w:val="auto"/>
              </w:rPr>
            </w:pPr>
          </w:p>
        </w:tc>
      </w:tr>
      <w:tr>
        <w:trPr>
          <w:trHeight w:val="163"/>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65,758,341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508,092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(357,661)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37,664</w:t>
            </w:r>
          </w:p>
        </w:tc>
        <w:tc>
          <w:tcPr>
            <w:tcW w:w="10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185,604</w:t>
            </w:r>
          </w:p>
        </w:tc>
        <w:tc>
          <w:tcPr>
            <w:tcW w:w="0" w:type="dxa"/>
            <w:vAlign w:val="bottom"/>
          </w:tcPr>
          <w:p>
            <w:pPr>
              <w:spacing w:after="0"/>
              <w:rPr>
                <w:sz w:val="1"/>
                <w:szCs w:val="1"/>
                <w:color w:val="auto"/>
              </w:rPr>
            </w:pPr>
          </w:p>
        </w:tc>
      </w:tr>
      <w:tr>
        <w:trPr>
          <w:trHeight w:val="127"/>
        </w:trPr>
        <w:tc>
          <w:tcPr>
            <w:tcW w:w="2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Class A common stock for</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1,339,375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0" w:type="dxa"/>
            <w:vAlign w:val="bottom"/>
          </w:tcPr>
          <w:p>
            <w:pPr>
              <w:spacing w:after="0"/>
              <w:rPr>
                <w:sz w:val="1"/>
                <w:szCs w:val="1"/>
                <w:color w:val="auto"/>
              </w:rPr>
            </w:pPr>
          </w:p>
        </w:tc>
      </w:tr>
      <w:tr>
        <w:trPr>
          <w:trHeight w:val="122"/>
        </w:trPr>
        <w:tc>
          <w:tcPr>
            <w:tcW w:w="21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27,274</w:t>
            </w:r>
          </w:p>
        </w:tc>
        <w:tc>
          <w:tcPr>
            <w:tcW w:w="0" w:type="dxa"/>
            <w:vAlign w:val="bottom"/>
          </w:tcPr>
          <w:p>
            <w:pPr>
              <w:spacing w:after="0"/>
              <w:rPr>
                <w:sz w:val="1"/>
                <w:szCs w:val="1"/>
                <w:color w:val="auto"/>
              </w:rPr>
            </w:pPr>
          </w:p>
        </w:tc>
      </w:tr>
      <w:tr>
        <w:trPr>
          <w:trHeight w:val="122"/>
        </w:trPr>
        <w:tc>
          <w:tcPr>
            <w:tcW w:w="21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12,673</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w:t>
            </w:r>
          </w:p>
        </w:tc>
        <w:tc>
          <w:tcPr>
            <w:tcW w:w="0" w:type="dxa"/>
            <w:vAlign w:val="bottom"/>
          </w:tcPr>
          <w:p>
            <w:pPr>
              <w:spacing w:after="0"/>
              <w:rPr>
                <w:sz w:val="1"/>
                <w:szCs w:val="1"/>
                <w:color w:val="auto"/>
              </w:rPr>
            </w:pPr>
          </w:p>
        </w:tc>
      </w:tr>
      <w:tr>
        <w:trPr>
          <w:trHeight w:val="20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67,097,716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520,851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228,447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2"/>
          <w:szCs w:val="1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100" w:type="dxa"/>
            <w:vAlign w:val="bottom"/>
          </w:tcPr>
          <w:p>
            <w:pPr>
              <w:spacing w:after="0"/>
              <w:rPr>
                <w:sz w:val="16"/>
                <w:szCs w:val="16"/>
                <w:color w:val="auto"/>
              </w:rPr>
            </w:pP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(195,625)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Loss from discontinued operations, net of tax</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(74,429)</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8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(47,049)</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(121,196)</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(benefit) for expected credit losses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of assets</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extinguishment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disposals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loss on foreign currency fluctuations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0" w:type="dxa"/>
            <w:vAlign w:val="bottom"/>
          </w:tcPr>
          <w:p>
            <w:pPr>
              <w:spacing w:after="0"/>
              <w:rPr>
                <w:sz w:val="1"/>
                <w:szCs w:val="1"/>
                <w:color w:val="auto"/>
              </w:rPr>
            </w:pPr>
          </w:p>
        </w:tc>
      </w:tr>
      <w:tr>
        <w:trPr>
          <w:trHeight w:val="195"/>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current and noncurrent assets and liabilities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 - continuing operations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17,513</w:t>
            </w:r>
          </w:p>
        </w:tc>
        <w:tc>
          <w:tcPr>
            <w:tcW w:w="0" w:type="dxa"/>
            <w:vAlign w:val="bottom"/>
          </w:tcPr>
          <w:p>
            <w:pPr>
              <w:spacing w:after="0"/>
              <w:rPr>
                <w:sz w:val="1"/>
                <w:szCs w:val="1"/>
                <w:color w:val="auto"/>
              </w:rPr>
            </w:pPr>
          </w:p>
        </w:tc>
      </w:tr>
      <w:tr>
        <w:trPr>
          <w:trHeight w:val="19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 - discontinued operations</w:t>
            </w:r>
          </w:p>
        </w:tc>
        <w:tc>
          <w:tcPr>
            <w:tcW w:w="8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0" w:type="dxa"/>
            <w:vAlign w:val="bottom"/>
          </w:tcPr>
          <w:p>
            <w:pPr>
              <w:spacing w:after="0"/>
              <w:rPr>
                <w:sz w:val="1"/>
                <w:szCs w:val="1"/>
                <w:color w:val="auto"/>
              </w:rPr>
            </w:pPr>
          </w:p>
        </w:tc>
      </w:tr>
      <w:tr>
        <w:trPr>
          <w:trHeight w:val="19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proceeds from the sale of a business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34,675</w:t>
            </w: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acquisition of distribution rights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investing activities - continuing operations</w:t>
            </w:r>
          </w:p>
        </w:tc>
        <w:tc>
          <w:tcPr>
            <w:tcW w:w="8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27,313</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investing activities - discontinued operations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(11,506)</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investing activities</w:t>
            </w:r>
          </w:p>
        </w:tc>
        <w:tc>
          <w:tcPr>
            <w:tcW w:w="8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22,963</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15,807</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Class A and B common stock</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on equity-based compensation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 of deferred consideration</w:t>
            </w:r>
          </w:p>
        </w:tc>
        <w:tc>
          <w:tcPr>
            <w:tcW w:w="8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 on revolver</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on revolver</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long-term debt, net of discount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the extinguishment of long-term debt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financing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(38,264)</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(26,653)</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31,837</w:t>
            </w:r>
          </w:p>
        </w:tc>
        <w:tc>
          <w:tcPr>
            <w:tcW w:w="0" w:type="dxa"/>
            <w:vAlign w:val="bottom"/>
          </w:tcPr>
          <w:p>
            <w:pPr>
              <w:spacing w:after="0"/>
              <w:rPr>
                <w:sz w:val="1"/>
                <w:szCs w:val="1"/>
                <w:color w:val="auto"/>
              </w:rPr>
            </w:pPr>
          </w:p>
        </w:tc>
      </w:tr>
      <w:tr>
        <w:trPr>
          <w:trHeight w:val="22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for distribution rights and member distributions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for purchase of property, plant and equipment</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unit and share amounts)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Bioventus Inc. (together with its subsidiaries, the “Company”) was formed as a Delaware corporation for the purpose of facilitating an initial public offering (“IPO”) and other related transactions to carry on the business of Bioventus LLC and its subsidiaries (“BV LLC”). Bioventus Inc. functions as a holding company with no direct operations, material assets or liabilities other than the equity interest in BV LLC. BV LLC is a limited liability company formed under the laws of the state of Delaware on November 23, 2011 and operates as a partnership. BV LLC commenced operations in May 2012.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2021, the Company completed its IPO, which was conducted through what is commonly referred to as an umbrella partnership C Corporation (“UP-C”) structure. The Company has majority interest, sole voting interest, and controls the management of BV LLC. As a result, the Company consolidates the financial results of BV LLC and reports a noncontrolling interest representing the interest of BV LLC held by its continuing LLC owner.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global medical device company focused on helping patients recover and live life to the fullest by relieving pain and addressing musculoskeletal challenges through a diverse portfolio of high-quality, innovative, and clinically-proven solutions. The Company is headquartered in Durham, North Carolina and had approximately 930 employees at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w:t>
      </w:r>
    </w:p>
    <w:p>
      <w:pPr>
        <w:ind w:firstLine="8"/>
        <w:spacing w:after="0" w:line="260" w:lineRule="auto"/>
        <w:tabs>
          <w:tab w:leader="none" w:pos="2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13-week quarterly periods for fiscal year 2025 ended on March 29, June 28 and September 27. Comparable periods for 2024 ended on March 30, June 29 and September 28. The first and fourth quarters may vary in length depending on the calendar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 for Correction of Immaterial Error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quarter ended March 29, 2025, the Company identified an error in its equity-based compensation expense, which is recorded in selling, general, and administrative expense and research and development expense for the fiscal year ended December 31, 2024 and related quarterly periods. The Company’s third-party administrator unintentionally changed the grant-date fair value of the restricted stock units granted on March 15, 2024. The change made by the third-party administrator occurred after the Company had performed its routine quarterly review over the accuracy and completeness of the fair value of new grants in its system. As a result, equity-based compensation expense was calculated in the system based on an incorrect value, causing an understatement of equity-based compensation expense as reflected in the below analysis. The Company identified the misstatement during its preparation and review of the definitive proxy statement for the Company’s 2025 Annual Meeting of Stockholders. The misstatement did not impact revenues or cash flows.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financial statements affected by this error included the consolidated statements of operations and comprehensive income (loss), consolidated balance sheets and consolidated statements of changes in stockholders’ equity issued in the Company’s filed Annual Report on Form 10-K for the year ended December 31, 2024. The quarterly statements impacted by the error included the consolidated condensed statements of operations and comprehensive income (loss), consolidated condensed balance sheets and consolidated condensed statement of changes in stockholders’ equity issued in the Company’s Quarterly Reports filed on Form 10-Q for the periods ended March 30, June 29 and September 28,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concluded that these errors were not material, individually or in the aggregate, as evaluated under the Securities and Exchange Commission Staff Accounting Bulletin Topic 1.M - Materiality, Topic 1.N - Considering the Effects of Prior Year Misstatements in Current Year Financial Statements and Financial Accounting Standards Board ASC 250-10, Accounting Changes and Error Corrections. To facilitate comparison between periods, the Company will adjust previously reported financial information for the immaterial error in future filings, as further explained below.</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revised the following amounts in the consolidated statements of operations and comprehensive income (loss), the consolidated balance sheets and the consolidated statements of changes in stockholders’ equity, as applicable, originally reported in the Form 10-K for the annual period ended December 31, 2024, in this Annual Report on Form 10-K for the year ended December 31,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 —</w:t>
            </w:r>
          </w:p>
        </w:tc>
        <w:tc>
          <w:tcPr>
            <w:tcW w:w="700" w:type="dxa"/>
            <w:vAlign w:val="bottom"/>
          </w:tcPr>
          <w:p>
            <w:pPr>
              <w:spacing w:after="0"/>
              <w:rPr>
                <w:sz w:val="13"/>
                <w:szCs w:val="13"/>
                <w:color w:val="auto"/>
              </w:rPr>
            </w:pP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320" w:type="dxa"/>
            <w:vAlign w:val="bottom"/>
          </w:tcPr>
          <w:p>
            <w:pPr>
              <w:spacing w:after="0"/>
              <w:rPr>
                <w:sz w:val="13"/>
                <w:szCs w:val="13"/>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3"/>
                <w:szCs w:val="13"/>
                <w:color w:val="auto"/>
              </w:rPr>
            </w:pPr>
          </w:p>
        </w:tc>
        <w:tc>
          <w:tcPr>
            <w:tcW w:w="15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340,894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343,798</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Bioventus Inc.</w:t>
            </w: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Bioventus Inc.</w:t>
            </w: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 - basic and diluted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30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 — December 31, 2024</w:t>
            </w:r>
          </w:p>
        </w:tc>
        <w:tc>
          <w:tcPr>
            <w:tcW w:w="70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320" w:type="dxa"/>
            <w:vAlign w:val="bottom"/>
          </w:tcPr>
          <w:p>
            <w:pPr>
              <w:spacing w:after="0"/>
              <w:rPr>
                <w:sz w:val="24"/>
                <w:szCs w:val="24"/>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24"/>
                <w:szCs w:val="24"/>
                <w:color w:val="auto"/>
              </w:rPr>
            </w:pPr>
          </w:p>
        </w:tc>
        <w:tc>
          <w:tcPr>
            <w:tcW w:w="15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508,092</w:t>
            </w: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(357,661)</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(“U.S. GAAP”). The consolidated financial statements include the Company, its subsidiaries and investments in which the Company has control. Amounts pertaining to the noncontrolling ownership interests held by third parties in the operating results and financial position of the Company’s controlled subsidiaries are reported as noncontrolling interests.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 (ii) its operating results are regularly reviewed by the Chief Operating Decision Maker (“CODM”) to make decisions about resources to be allocated to the segment and assess its performance; and (iii) it has available discrete financial information. The Company’s CODM is its President and Chief Executive Officer. The CODM reviews financial information at the operating segment level to allocate resources and to assess the operating results and financial performance for each operating segment.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two reportable segments are U.S. and International. U.S. and International products are primarily sold to physicians spanning the orthopedic continuum, including sports medicine, total joint reconstruction, hand and upper extremities, foot and ankle, podiatric surgery, trauma, spine and neurosurgery, as well as directly to their patients. Refer to </w:t>
      </w:r>
      <w:r>
        <w:rPr>
          <w:rFonts w:ascii="Times New Roman" w:cs="Times New Roman" w:eastAsia="Times New Roman" w:hAnsi="Times New Roman"/>
          <w:sz w:val="18"/>
          <w:szCs w:val="18"/>
          <w:i w:val="1"/>
          <w:iCs w:val="1"/>
          <w:color w:val="auto"/>
        </w:rPr>
        <w:t>Note 13. Revenue Recognition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14. Segments</w:t>
      </w:r>
      <w:r>
        <w:rPr>
          <w:rFonts w:ascii="Times New Roman" w:cs="Times New Roman" w:eastAsia="Times New Roman" w:hAnsi="Times New Roman"/>
          <w:sz w:val="18"/>
          <w:szCs w:val="18"/>
          <w:color w:val="auto"/>
        </w:rPr>
        <w:t xml:space="preserve"> for further information regarding the Company’s business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 lived assets,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qualifying both as a smaller reporting company and emerging growth company, the Company is an accelerated filer under SEC rules and regulations for purposes of this Annual Report.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2025-11 (“ASU 2025-11”), Interim Reporting (Topic 270). The amendments in this update result in a comprehensive list of interim disclosures that are required by U.S. GAAP. The objective of ASU 2025-11 is to provide clarity about the current requirements, rather than evaluate whether to expand or reduce interim disclosure requirements. The amendments in ASU 2025-11 also include a disclosure principle that requires entities to disclose events since the end of the last annual reporting period that have a material impact on the entity. The intent of the disclosure principle, which is modeled after previous disclosure requirements, is to help entities determine whether disclosures not specified in Topic 270 should be disclosed in interim reporting periods. The amendments in ASU 2025-11 also clarify the applicability of Topic 270, the types of interim reporting, and the form and content of interim financial statements in accordance with U.S. GAAP. The FASB expects that these clarifications will enhance consistency in interim reporting for all entities. ASU 2025-11 is effective for interim reporting periods within annual reporting periods beginning after December 15, 2027. Early adoption is permitted and the amendments in 2025-11 can be applied either prospectively or retrospectively to any or all prior periods presented in the financial statements. The Company is currently evaluating ASU 2025-11 to determine its impact on the Company’s consolidated financial statements and disclosures, as well as the method and timing of adoption.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2025, the FASB issued Accounting Standards Update 2025-09 (“ASU 2025-09”), Derivatives and Hedging (Topic 815). The objective of ASU 2025-09 is to more closely align hedge accounting with the economics of an entity’s risk management activities. The amendments included in ASU 2025-09 intend to better reflect strategies in financial reporting by enabling entities to achieve and maintain hedge accounting for highly effective economic hedges of forecasted transactions by: (1) expanding the hedged risks permitted to be aggregated in a group of individual forecasted transaction, thereby enabling entities to apply hedge accounting to potentially broader portfolios of forecasted transactions; (2) establishing an operable model to facilitate the application of cash flow hedge accounting to forecasted interest payments on variable-rate debt instruments with contractual terms that permit the borrower to change the interest rate index and interest rate frequency upon which interest is accrued; (3) expanding hedge accounting for forecasted purchases and sales of nonfinancial assets; (4) updating the hedge accounting guidance to accommodate differences in the loan and swap markets that developed after the cessation of the London Interbank Offered Rate; and (5) eliminating the recognition and presentation mismatch related to a dual hedge strategy.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ASU 2025-09 will be effective for all entities for annual reporting periods beginning after December 15, 2026, and interim reporting periods within those annual reporting periods. Early adoption is permitted on any date on or after the issuance of ASU 2025-09. The amendments under ASU 2025-09 must be adopted on a prospective basis for all hedging relationships. An entity may elect to adopt ASU 2025-09 for hedging relationships that exist as of the date of adoption and are permitted to modify certain critical terms of certain existing hedging relationships without dedesignating the hedge. The Company is currently evaluating ASU 2025-09 to determine its impact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(“ASU 2025-06”), Intangibles—Goodwill and Other—Internal-Use Software. ASU 2025-06 eliminates prescriptive and sequential software development stages, thus requiring companies to capitalize software costs when both of the following occur: (1) management authorizes and commits to funding the software project; and (2) it is probable that the project will be completed and the software will be used to perform its intended function (referred to as the “probable-to-complete recognition method”). In evaluating the probable-to-complete recognition method, an entity must consider whether there is significant uncertainty associated with the development activities of the software (referred to as “significant development uncertainty”). The two factors to consider in determining whether there is significant development uncertainty are whether: (1) the software being developed has technological innovations or novel, unique, or unproven functions or features, and the uncertainty related to those technological innovations, functions, or features, if identified, has not been resolved through coding and testing; and (2) the company has determined what it needs the software to do (for example, functions or features), including whether the company has identified or continues to substantially revise the software’s significant performance requirements. ASU 2025-06 specifies that the disclosures in Subtopic 360-10, Property, Plant, and Equipment—Overall are required for all capitalized internal-use software costs, regardless of how the company presents those costs in the financial statements. Additionally, ASU 2025-06 clarifies that the intangibles disclosures are not required for capitalized internal-use software costs. Further, ASU 2025-06 supersedes the website development costs guidance and incorporates the recognition requirements for website-specific development costs from Subtopic 350-50 into Subtopic 350-40. ASU 2025-06 will be effective for all entities for annual reporting periods beginning after December 15, 2027, and interim reporting periods within those annual reporting periods. Early adoption is permitted as of the beginning of an annual reporting period. The amendments under ASU 2025-06 may be adopted prospectively, retrospectively, or with modified transition adoption for certain in-process projects. The Company is currently evaluating ASU 2025-06 to determine its impact on the Company’s consolidated financial statements and disclosures, as well as the method and timing of adoption.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(“ASU 2024-03”), Income Statement—Reporting Comprehensive Income— Expense Disaggregation Disclosures, which requires additional disclosures regarding income statement expense categories. The additional disclosures will further disaggregate relevant expense captions in tabular form within the notes to the consolidated financial statements because they include one or more expense categories such as: (1) purchases of inventory, (2) employee compensation, (3) depreciation, (4) intangible asset amortization and (5) depreciation, depletion and amortization recognized as part of oil- and gas-producing activities or other types of depletion expenses. ASU 2024-03 also requires: (i) disclosure of certain amounts that are already required to be disclosed under current requirements in the same disclosure as the other disaggregation requirements; (ii) a qualitative description of the amount remaining in relevant expense captions that are not separately disaggregated quantitatively; and</w:t>
      </w:r>
    </w:p>
    <w:p>
      <w:pPr>
        <w:spacing w:after="0" w:line="3" w:lineRule="exact"/>
        <w:rPr>
          <w:sz w:val="20"/>
          <w:szCs w:val="20"/>
          <w:color w:val="auto"/>
        </w:rPr>
      </w:pPr>
    </w:p>
    <w:p>
      <w:pPr>
        <w:jc w:val="both"/>
        <w:ind w:firstLine="8"/>
        <w:spacing w:after="0" w:line="251"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total amount of selling expenses. In January 2025, the FASB issued Accounting Standards Update 2025-01, Income Statement— Reporting Comprehensive Income—Expense Disaggregation Disclosures: Clarifying the Effective Date, further defining that ASU 2024-03 is effective for fiscal years beginning after December 15, 2026, and interim periods within the annual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currently evaluating ASU 2024-03 to determine its impact on the Company’s disclosures and method of adoption and plans to adopt ASU 2024-03 in the Company’s Annual Report on Form 10-K for the fiscal year ending December 31, 2027. The Company expects that further disaggregation of income statement captions will be necessary, which will be disclosed in the notes to the consolidated financial statements upon the adoption of ASU 2024-03.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adopted FASB’s Accounting Standards Update 2023-09, Income Taxes, for the annual period ended December 31, 2025 on a retrospective basis. Refer to </w:t>
      </w:r>
      <w:r>
        <w:rPr>
          <w:rFonts w:ascii="Times New Roman" w:cs="Times New Roman" w:eastAsia="Times New Roman" w:hAnsi="Times New Roman"/>
          <w:sz w:val="18"/>
          <w:szCs w:val="18"/>
          <w:i w:val="1"/>
          <w:iCs w:val="1"/>
          <w:color w:val="auto"/>
        </w:rPr>
        <w:t>Note 11. Income Taxe</w:t>
      </w:r>
      <w:r>
        <w:rPr>
          <w:rFonts w:ascii="Times New Roman" w:cs="Times New Roman" w:eastAsia="Times New Roman" w:hAnsi="Times New Roman"/>
          <w:sz w:val="18"/>
          <w:szCs w:val="18"/>
          <w:color w:val="auto"/>
        </w:rPr>
        <w:t>s for further details regarding impact of adoption.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each investment and collaboration agreement to determine if it has a variable interest in the entity. In assessing whether the Company has a variable interest in the entity as a whole, the Company considers and makes judgments regarding the purpose and design of the entity, the value of the licensed assets to the entity, the value of the entity’s total assets and the significant activities of the entity. If the Company has a variable interest in the entity as a whole, the Company assesses whether or not the Company is a primary beneficiary of that variable interest entity (“VIE”), based on a number of factors, including: (i) which party has the power to direct the activities that most significantly affect the VIE’s economic performance,</w:t>
      </w:r>
    </w:p>
    <w:p>
      <w:pPr>
        <w:spacing w:after="0" w:line="3" w:lineRule="exact"/>
        <w:rPr>
          <w:sz w:val="20"/>
          <w:szCs w:val="20"/>
          <w:color w:val="auto"/>
        </w:rPr>
      </w:pPr>
    </w:p>
    <w:p>
      <w:pPr>
        <w:jc w:val="both"/>
        <w:ind w:firstLine="8"/>
        <w:spacing w:after="0" w:line="252"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contractual rights and responsibilities pursuant to the collaboration agreement, and (iii) which party has the obligation to absorb losses of or the right to receive benefits from the VIE that could be significant to the VIE. If the Company determines that it is the primary beneficiary of a VIE at the onset of the collaboration, the collaboration is treated as a business combination and the Company consolidates the financial statement of the VIE into the Company’s consolidated financial statements. On a quarterly basis, the Company evaluates whether it continues to be the primary beneficiary of the consolidated VIE. If the Company determines that it is no longer the primary beneficiary of a consolidated VIE, it deconsolidates the VIE in the period the determination is made.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as a result of consolidating financial results of the VIE into the Company’s consolidated balance sheet do not represent additional assets that could be used to satisfy claims against the Company’s general assets or liabilities for which creditors have recourse to the Company’s general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noncontrolling interest on its consolidated balance sheet related to the economic interest in BV LLC held by the only continuing BV LLC owner as well as consolidated VIEs. The Company records loss attributable to noncontrolling interest on its consolidated statements of operations, which reflects the net loss for the reporting period, adjusted for changes in the noncontrolling interest holders claim to net assets, including contingent milestone and royalty payments, which are evaluated each reporting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Deconsolidation and 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certain events and on a regular basis, the Company evaluates whether it no longer has a controlling interest in its subsidiaries, including consolidated VIEs. If the Company determines it no longer has a controlling interest, the subsidiary is deconsolidated. The Company records a gain or loss on deconsolidation based on the difference on the deconsolidation date between (i) the aggregate of (a) the fair value of any consideration received, (b) the fair value of any retained noncontrolling investment in the former subsidiary and (c) the carrying amount of any noncontrolling interest in the subsidiary being deconsolidated, less (ii) the carrying amount of the former subsidiary’s assets and liabilities.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whether a deconsolidation is required to be presented as discontinued operations in its consolidated financial statements on the deconsolidation date. This assessment is based on if the deconsolidation represents a strategic shift that has or will have a major effect on the Company’s operations or financial results. If the Company determines that a deconsolidation requires presentation as a discontinued operation on the deconsolidation date, it will present the former subsidiary as a discontinued operation for all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Foreign Currency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and liabilities of foreign subsidiaries whose functional currency is the local currency are translated into U.S. Dollars at exchange rates in effect at the end of the reporting period. Equity accounts are translated at historical exchange rates. Revenues and expenses are translated at the exchange rate on the transaction date. Translation adjustments resulting from this process are included in accumulated other comprehensive income (loss) as a separate component of stockholders’ equity.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included in other expense (income) in the consolidated statements of operations and other comprehensive income (loss). The Company recorded foreign currency transaction losses of $1,976 for the year ended December 31, 2025 and gains of $1,306 and $351 for the years ended December 31,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income (loss) consists of two components: net income (loss) and other comprehensive income (loss), which refers to gains and losses that are recorded under U.S. GAAP as an element of stockholders’ equity and is excluded from net income (loss). The Company’s other comprehensive income (loss) consists of a defined benefit plan adjustment, changes in fair value of interest rate swaps, and foreign currency translation adjustments from those subsidiaries not using the U.S. Dollar as their functional currency.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an original maturity of three months or less at date of purchase. The Company’s cash is primarily held in financial institutions in the United States and the Netherlands. The Company maintains cash balances in the United States in excess of the federally insured limits.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certain assets and liabilities at fair value. Fair value is defined as the price that would be received to sell an asset or paid to transfer a liability in the principal or most advantageous market for that asset or liability in an orderly transaction between market participants at the measurement date.</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applies a three-level fair value hierarchy that prioritizes the input used in measuring fair value. This hierarchy requires the use of observable inputs whenever available and minimizes the use of unobservable inputs. Assets and liabilities are categorized within the hierarchy based on the lowest level input that is significant to the fair value measurement:</w:t>
      </w:r>
    </w:p>
    <w:p>
      <w:pPr>
        <w:spacing w:after="0" w:line="1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within Level 1, such as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This includes certain pricing models, discounted cash flow methodologies and similar techniques that use significant unobservable inputs.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6. Fair Value Measurements</w:t>
      </w:r>
      <w:r>
        <w:rPr>
          <w:rFonts w:ascii="Times New Roman" w:cs="Times New Roman" w:eastAsia="Times New Roman" w:hAnsi="Times New Roman"/>
          <w:sz w:val="18"/>
          <w:szCs w:val="18"/>
          <w:color w:val="auto"/>
        </w:rPr>
        <w:t xml:space="preserve"> for further details regarding the Company’s assets and liabilities measured at fair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Products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revenue primarily from product sales in its (i) Pain Treatments portfolio, which includes osteoarthritic (“OA”) pain treatments, which are hyaluronic acid (“HA”), viscosupplementation therapies and peripheral nerve stimulation products, (ii) Surgical Solutions portfolio, which includes bone graft substitutes, tissue resection, ultrasonic bone cutting and sculpting systems and other surgical products, and (iii) Restorative Therapies portfolio, which includes minimally invasive fracture treatments. The Company sells directly to healthcare institutions, patients, distributors and dealers. The Company also enters into arrangements with pharmacy and health benefit managers that provide for privately negotiated rebates, chargebacks and discounts with respect to the purchase of the Company’s products.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generally at a point in time upon transfer of control of the promised product to customers in an amount that reflects the consideration it expects to receive in exchange for those products. The Company excludes taxes collected from customers and remitted to government authorities from revenues.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are recorded at the transaction price, which is determined as the contracted price net of estimates of variable consideration resulting from discounts, rebates, returns, chargebacks, contractual allowances, estimated third-party payer settlements, and certain distribution and administration fees offered in customer contracts and other indirect customer contracts relating to the sale of products. The Company establishes reserves for the estimated variable consideration based on the amounts earned or eligible to be claimed on the related sales. Where appropriate, these estimates take into consideration a range of possible outcomes, which are probability-weighted for relevant factors such as the Company’s historical experience, current contractual requirements, specific known market events and trends, industry data and forecasted customer buying and payment patterns. The amount of variable consideration is included in the transaction price only to the extent that it is probable that a significant reversal in the amount of the cumulative revenue recognized will not occur in a future period. The Company regularly updates its reserves as new information becomes available, including newly received payer or customer invoices, by incorporating this information into its reserves at the end of each reporting period, as needed.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end of the third quarter of 2025, a large private insurance payer informed the Company that it had made changes to its claims data management and billing systems and that, as a result, the Company could experience significantly larger rebate volumes for its HA viscosupplement products than the Company had previously experienced. Using the expected value method, the Company estimated the variable consideration related to this contract based on the range of possible outcomes and the probabilities of each outcome. Rebates accrued under this contract, including the estimated impact of the billing system changes, totaled $16,401 at December 31, 2025 compared to $14,449 at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Pain Treatments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customers, such as healthcare providers, distribution centers or specialty pharmacies, is recognized at the point in time when control is transferred to the customer, typically upon shipment.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 Chargebacks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preexisting contracts with established rates with many of the distributors’ customers that require the distributors to sell products at their established rate. The Company offers chargebacks to distributors who supply these customers with products. The Company reduces revenue at the time of sale for the estimated future chargebacks. The Company records chargeback reserves as a reduction of accounts receivable and bases the reserves on the expected value by using probability-weighted estimates of volume of purchases, inventory holdings and historical chargebacks requested for each distributor.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Discounts and Gross-To-Net Deductions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offers retrospective discounts and gross-to-net deductions linked to the volume of purchases which may increase at negotiated thresholds within a contract-buying period. The Company reduces revenue and records the reserve as a reduction to accounts receivable for the estimated discount and rebate at the expected amount the customer will earn, based on historical buying trends and forecasted purchases.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 Solutions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product sales related to bone graft substitutes are through consignment inventory with hospitals, where ownership remains with the Company until the hospital or ambulatory surgical center (“ASC”) performs a surgery and consumes the consigned inventory. The Company recognizes revenue when the surgery has been performed. Control of the product is not transferred until the customer consumes it, as the Company is able to request the return or transfer of the product to a third-party prior to the product’s use. An unconditional obligation to pay for the product does not exist until the customer uses it.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consistently recognizes revenue from sales of its ultrasonic products in accordance with shipping terms. Control is transferred to the customer when the product is shipped or received, and revenue is recognized accordingly.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Restorative Therapies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third-party payers, such as governmental agencies, insurance companies or managed care providers, when the Company transfers control to the patient, typically when the patient has accepted the product or upon delivery. The Company records this revenue at the contracted rate, net of contractual allowances and estimated third-party payer settlements at the time of sale, or an estimated price based on historical data and other available information for non-contracted payers. The Company estimates the contractual allowances using the portfolio approach and based on probability weighting historical data and collections history within those portfolios. The portfolios determined using the portfolio approach consist of the following customer groups: government payers, commercial payers, and patients.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Settlements with third-party payers for retroactive revenue adjustments due to audits, reviews or investigations are considered variable consideration and are included in the determination of the estimated transaction price using the expected amount method. These settlements are estimated based on the terms of the payment agreement with the payer, correspondence from the payer and historical settlement activity, including an assessment to ensure that it is probable that a significant reversal in the amount of cumulative revenue recognized will not occur when the uncertainty associated with the retroactive adjustment is subsequently resolved. Estimated settlements are adjusted in future periods as adjustments become known (that is, new information becomes available), or as years are settled or are no longer subject to such audits, reviews and investigations. The Company is not aware of any claims, disputes or unsettled matters with any payer that would materially affect revenues for which the Company has not adequately provided for or disclosed in the accompanying consolidated financial statements.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xml:space="preserve"> for further information.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patients (self-pay and insured patients with coinsurance and deductible responsibilities) based on billed amounts giving effect to any discounts and implicit price concessions. Implicit price concessions represent differences between amounts billed and the amounts the Company expects to collect from patients, which considers historical collection experience and current market conditions. The Company recognizes revenue from other restorative therapies products generally at the point in time when control is transferred to the customer, either upon shipment or delivery, depending on the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estimates the amount of returns and reduces revenue in the period the related product revenue is recognized. The Company records a liability for expected returns based on probability-weighted historical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net are amounts billed and currently due from customers. The Company records the amounts due net of allowance for credit losses. The Company maintains an estimated allowance for credit losses to provide for receivables the Company does not expect to collect. The Company bases the allowance on an assessment of customer creditworthiness, historical payment experience, the age of outstanding receivables and other information as applicable.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consist of unbilled amounts resulting from estimated future royalties from an international distributor that exceeds the amount billed. Contract assets totaling $177 and $76 as of December 31, 2025 and 2024, respectively, are included in prepaid and other current assets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customer advance payments or deposits and deferred revenue. Occasionally for certain international customers, the Company requires payments in advance of shipping product and recognizing revenue resulting in contract liabilities. Contract liabilities were $955 and $1,679 as of December 31, 2025 and 2024, respectively, and are included in accrued liabilities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amounts billed for shipping and handling as a component of net sales. The related shipping and handling fees and costs as well as other distribution costs are included in cost of sales. The Company has elected to recognize shipping and handling activities that occur after control of the related product transfers to the customer as fulfillment costs and are included in cost of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of recognizing the incremental costs of obtaining contracts as an expense when incurred as the amortization period of the assets that the Company otherwise would have recognized is one year or less. These incremental costs include the Company’s sales incentive programs for the internal sales force and third-party sales agents as the compensation is commensurate with annual sales activities. These costs are included in selling, general and administrative expense on the consolidated statements of operations and comprehensive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values its inventory at the lower of cost or net realizable value and adjusts for the value of inventory that is estimated to be excess, obsolete or otherwise unmarketable. Cost is determined using the first-in, first-out method. Elements of cost in inventory include raw materials, direct labor, manufacturing overhead and inbound freight. The Company records allowances for excess and obsolete inventory based on historical and estimated future demand and market conditions. Inventory items used for demonstration purposes, rentals and consigned generators are classified as property and equipment.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acquisitions requires the Company to recognize separately from goodwill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best estimates and assumptions are used to accurately value assets acquired and liabilities assumed at the acquisition date, as well as contingent consideration where applicable, estimates are inherently uncertain and subject to refinement. During the measurement period, which may be up to one year from the acquisition date, the Company may record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within the consolidated statements of operations and comprehensive income (loss). Subsequent changes in the estimated fair value of contingent consideration are recognized in earnings in the period of change.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values of property, equipment, intangible assets, and other long-lived and indefinite-lived assets are reviewed for recoverability if facts, events or changes in circumstances indicate that a potential impairment might have occurred. If such a review indicates that carrying values may not be recoverable, the Company performs an assessment to determine if an impairment charge is required to reduce carrying values to estimated fair value. If quoted market prices are not available, fair value is estimated using an undiscounted value of estimated future cash flows. Upon retirement or sale of property and equipment, the cost of assets disposed of and the related accumulated depreciation and amortization are removed from the accounts, and any resulting gain or loss is included in income from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recorded an impairment loss of $33,901 during the year ended December 31, 2024 within the U.S. reporting segment for net intellectual property attributable to the Advanced Rehabilitation Business, which includes products such as the L100, L300 Go, L360, H200, Vector Gait &amp; Safety System and Bioness Integrated Therapy System (BITS). This loss was recorded in impairment of assets within the consolidated statements of operations and comprehensive income (loss). Refer to </w:t>
      </w:r>
      <w:r>
        <w:rPr>
          <w:rFonts w:ascii="Times New Roman" w:cs="Times New Roman" w:eastAsia="Times New Roman" w:hAnsi="Times New Roman"/>
          <w:sz w:val="18"/>
          <w:szCs w:val="18"/>
          <w:i w:val="1"/>
          <w:iCs w:val="1"/>
          <w:color w:val="auto"/>
        </w:rPr>
        <w:t>Note 4. Divestiture</w:t>
      </w:r>
      <w:r>
        <w:rPr>
          <w:rFonts w:ascii="Times New Roman" w:cs="Times New Roman" w:eastAsia="Times New Roman" w:hAnsi="Times New Roman"/>
          <w:sz w:val="18"/>
          <w:szCs w:val="18"/>
          <w:color w:val="auto"/>
        </w:rPr>
        <w:t>s for further information regarding the sale of advanced rehabilitation products and the impairment loss.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impairment losses of $2,456 for two right-of-use assets related to office and warehouse spaces during the year ended December 31, 2024. The Company ceased using these assets during 2024 and intended to sublease them. During the fourth quarter of 2024, the probability of subleasing declined due to market saturation and proximity to lease expiration. A recoverability analysis indicated that the carrying values exceeded undiscounted future cash flows on potential subleases, triggering impairment. Fair value was determined using market prices for similar assets and probability-based assumptions on sublease opportunities. The carrying values of the right-of-use assets exceeded their fair values, resulting in a loss recorded in the impairment of assets within the consolidated statements of operations and comprehensive income (loss).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an impairment loss of $78,615 during the year ended December 31, 2023 within the U.S. reporting segment related to net intellectual property attributable to the TheraSkin and TheraGenesis products, which were sold in May 2023. The loss was recorded in impairment of assets within the consolidated statements of operations and comprehensive income (loss). Refer to </w:t>
      </w:r>
      <w:r>
        <w:rPr>
          <w:rFonts w:ascii="Times New Roman" w:cs="Times New Roman" w:eastAsia="Times New Roman" w:hAnsi="Times New Roman"/>
          <w:sz w:val="18"/>
          <w:szCs w:val="18"/>
          <w:i w:val="1"/>
          <w:iCs w:val="1"/>
          <w:color w:val="auto"/>
        </w:rPr>
        <w:t>Note 4. Divestitures</w:t>
      </w:r>
      <w:r>
        <w:rPr>
          <w:rFonts w:ascii="Times New Roman" w:cs="Times New Roman" w:eastAsia="Times New Roman" w:hAnsi="Times New Roman"/>
          <w:sz w:val="18"/>
          <w:szCs w:val="18"/>
          <w:color w:val="auto"/>
        </w:rPr>
        <w:t xml:space="preserve"> for further information regarding this impairment.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previously described impairments of intangibles, there were no other events, facts or circumstances for the years ended December 31, 2025, 2024 and 2023 that resulted in any impairment charges to the Company’s property, equipment, intangible or other long-lived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Property and equipment are stated at cost less accumulated depreciation and amortization. Depreciation and amortization expense are recognized using the straight-line method over the estimated useful life of each asset, or the shorter of the lease term or useful life if related to leasehold improvements. Refer to </w:t>
      </w:r>
      <w:r>
        <w:rPr>
          <w:rFonts w:ascii="Times New Roman" w:cs="Times New Roman" w:eastAsia="Times New Roman" w:hAnsi="Times New Roman"/>
          <w:sz w:val="18"/>
          <w:szCs w:val="18"/>
          <w:i w:val="1"/>
          <w:iCs w:val="1"/>
          <w:color w:val="auto"/>
        </w:rPr>
        <w:t xml:space="preserve">Note 12. Commitments and Contingencies </w:t>
      </w:r>
      <w:r>
        <w:rPr>
          <w:rFonts w:ascii="Times New Roman" w:cs="Times New Roman" w:eastAsia="Times New Roman" w:hAnsi="Times New Roman"/>
          <w:sz w:val="18"/>
          <w:szCs w:val="18"/>
          <w:color w:val="auto"/>
        </w:rPr>
        <w:t>for further details regarding leased assets. Depreciation of generators used with certain surgical solutions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consigned to customers and depreciation is charged to selling expenses. The useful lives in years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and consignment inventory</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
        </w:trPr>
        <w:tc>
          <w:tcPr>
            <w:tcW w:w="700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80"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were initially recorded at fair value upon acquisition and are amortized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their estimated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useful lives. The useful lives (in years)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4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Weighted Average Useful Life</w:t>
            </w:r>
          </w:p>
        </w:tc>
      </w:tr>
      <w:tr>
        <w:trPr>
          <w:trHeight w:val="37"/>
        </w:trPr>
        <w:tc>
          <w:tcPr>
            <w:tcW w:w="8820" w:type="dxa"/>
            <w:vAlign w:val="bottom"/>
            <w:tcBorders>
              <w:bottom w:val="single" w:sz="8" w:color="CCEEFF"/>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evaluates goodwill for impairment annually on October 31, or more frequently if events or changes in circumstances indicate that the asset might be impaired. The Company evaluates Goodwill separately for its two reporting units: U.S. and International.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For the current year, the Company performed a qualitative assessment to determine whether it was more likely than not that the fair value of the international reporting unit was less than its carrying amount. There was no goodwill balance in the U.S. reporting unit. This qualitative assessment considered all relevant macroeconomic, industry, financial, and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factors in accordance with ASC 350. Specifically, the Company compared the results of its most recent fair value quantitative assessment from 2024 to the 2025 carrying values and concluded that the fair value significantly exceeded the carrying amount of the reporting unit. The Company also determined no events or circumstances occurred since the last quantitative analysis that would have been likely to cause a significant decrease in the fair value of the reporting unit. Further, the Company evaluated updated long-term growth projections, noting that no factors indicated a quantitative analysis should be performed. Accordingly, a quantitative goodwill impairment test was not deemed necessary in accordance with ASC 350.</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prior years, the Company elected to bypass the qualitative assessment and performed a quantitative goodwill impairment analysis. A reporting unit's fair value is determined using the income approach and discounted cash flow models by utilizing Level 3 inputs and assumptions such as future cash flows, discount rates, long-term growth rates, market value and income tax considerations. Specifically, the value of each reporting unit is determined on a stand-alone basis from the perspective of a market participant and represents the price estimated to be received in a sale of the reporting unit in an orderly transaction between market participants at the measurement date. If the fair value of the reporting unit is less than its carrying value, the Company will recognize the difference as an impairment loss, which is limited to the amount of goodwill allocated to the reporting units.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goodwill impairment charges for the years ended December 31, 2025, 2024 and 2023.</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qualitatively analyzes all other indefinite-lived intangible assets to determine if it is more likely than not that an impairment exists. If so, the Company performs a quantitative analysis to determine whether, and to what extent, an impairment exists.</w:t>
      </w:r>
    </w:p>
    <w:p>
      <w:pPr>
        <w:spacing w:after="0" w:line="54" w:lineRule="exact"/>
        <w:rPr>
          <w:sz w:val="20"/>
          <w:szCs w:val="20"/>
          <w:color w:val="auto"/>
        </w:rPr>
      </w:pPr>
    </w:p>
    <w:p>
      <w:pPr>
        <w:ind w:right="2040"/>
        <w:spacing w:after="0" w:line="375" w:lineRule="auto"/>
        <w:rPr>
          <w:sz w:val="20"/>
          <w:szCs w:val="20"/>
          <w:color w:val="auto"/>
        </w:rPr>
      </w:pPr>
      <w:r>
        <w:rPr>
          <w:rFonts w:ascii="Times New Roman" w:cs="Times New Roman" w:eastAsia="Times New Roman" w:hAnsi="Times New Roman"/>
          <w:sz w:val="18"/>
          <w:szCs w:val="18"/>
          <w:color w:val="auto"/>
        </w:rPr>
        <w:t xml:space="preserve">There were no impairment charges on indefinite-lived intangible assets for the years ended December 31, 2025, 2024 and 2023. </w:t>
      </w:r>
      <w:r>
        <w:rPr>
          <w:rFonts w:ascii="Times New Roman" w:cs="Times New Roman" w:eastAsia="Times New Roman" w:hAnsi="Times New Roman"/>
          <w:sz w:val="18"/>
          <w:szCs w:val="18"/>
          <w:b w:val="1"/>
          <w:bCs w:val="1"/>
          <w:color w:val="auto"/>
        </w:rPr>
        <w:t>Software Development Costs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internal and external costs incurred to develop internal-use software during the application development stage for software design, configuration, coding and testing upon placing the asset in service and then amortizes these costs on a straight-line basis over the estimated useful life of the product, not to exceed three years. The Company does not capitalize costs that are precluded from capitalization in authoritative guidance, such as preliminary project phase costs, training costs or data conversion costs. Capitalized software costs totaled $34,163 and $37,621 as of December 31, 2025 and 2024 and the related accumulated amortization totaled $31,659 and $33,324, respectively. Amortization expense was $3,632, $5,578 and $6,694 for the years ended December 31,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In-Process Research and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in-process research and development (“IPR&amp;D”) assets acquired in a business combination are capitalized and accounted for as indefinite-lived intangible assets and are not amortized until development is completed and the product is available for sale. Once the product is available for sale, the asset is transferred to developed technology and amortized over its estimated useful life. Impairment tests for IPR&amp;D assets occur at least annually in December, or more frequently if events or changes in circumstances indicate that the asset might be impaired. If the fair value of the intangible assets is less than the carrying amount, an impairment loss is recognized for the difference.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does not require collateral or other securities to support customer receivables. Credit losses are provided for through allowances and have historically been materially within management’s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suppliers provide the Company with product that results in a significant percentage of total sales for the years ended December 31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gridSpan w:val="2"/>
          </w:tcPr>
          <w:p>
            <w:pPr>
              <w:ind w:left="70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to these significant suppliers at December 31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D</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products provide the Company with a significant percentage of total sales for the years ended December 31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gridSpan w:val="2"/>
          </w:tcPr>
          <w:p>
            <w:pPr>
              <w:ind w:left="7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restructured portions of its operations and may engage in future restructuring activities. Identifying and calculating the cost to exit these operations requires certain assumptions, the most significant of which relate to anticipated future liabilities. Although estimates have historically been reasonably accurate, significant judgment is required, and these estimates and assumptions may change as additional information becomes available or as facts and circumstances evolve.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are recorded at estimated fair value. Key assumptions in determining restructuring costs include negotiated terms and payments to terminate contractual obligations. These costs have generally consisted of employee severance and related benefits, lease termination and facility closure costs and other exit-related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compensation cost for all share-based payments at fair value and recognizes this cost as compensation expense over the vesting period. The Company uses the Black-Scholes method to value options and the market price on the date of grant to value restricted stock. The Company utilizes the straight-line amortization method to recognize the expense associated with the awards with graded vesting terms. Compensation expense is included in selling, general and administrative expense and research and development expense on the consolidated statement of operations and comprehensive income (loss) based upon the classification of the employees who were granted the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include costs incurred to promote the Company’s business and are expensed as incurred and recorded as selling, general and administrative expense within the consolidated statement of operations and comprehensive income (loss). Advertising costs were $4,140, $4,422 and $3,853 for the years ended December 31, 2025,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employee compensation and related expenses as well as contract research organization services. Internal research and development costs are expensed as incurred. Research and development costs incurred by third parties are expensed as the contracted work is performed.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strategic alliance agreements with counterparties to produce products and/or provide services to customers. Alliances created by such agreements are not legal entities, have no employees, no assets and have no true operations. These arrangements create contractual rights and the Company accounts for these alliances as collaborative arrangements by reporting costs incurred from transactions within research and development expense within the consolidated statements of operations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liability in the consolidated financial statements on an undiscounted basis for loss contingencies when a loss is known or considered probable and the amount may be reasonably estimated. If the reasonable estimate of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Legal fees expected to be incurred in connection with a loss contingency are not included in the estimated loss contingency. The Company accrues for any legal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and liabilities are recognized for the expected future tax consequences of temporary differences between the financial reporting and income tax basis of assets and liabilities, and for operating losses and credit carryforwards. Deferred tax assets and liabilities are measured using enacted tax rates in effect for the years in which those items are expected to be realized. Tax law and rate changes are recorded in the period such changes are enacted. The Company establishes a valuation allowance when it is more likely than not that certain deferred tax assets will not be realized in the foreseeable future.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 tax benefit from any uncertain tax positions only if they are more likely than not to be sustained upon examination based on the technical merits of the position. The amount of the accrual for which an exposure exists is measured as the largest amount of benefit determined on a cumulative probability basis that the Company believes is more likely than not to be realized upon ultimate settlement of the position. Components of the reserve, if relevant, are classified as a current or noncurrent liability in the consolidated balance sheet based on when the Company expects each of the items to be settled. Interest and penalties related to unrecognized tax benefits are recognized as a component of income tax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net income or loss attributable to Bioventus Inc. Class A common stockholders, divided by the weighted-average Class A common stock outstanding. Diluted earnings per share is calculated using net income attributable to Bioventus Inc. Class A common stockholders, divided by the weighted average Class A common stock outstanding adjusted for the effect of granted stock awards determined to be dilutive under the treasury stock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Balance Sheet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net are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allowances, consisted of the following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short-term nature of the Company’s receivables, the estimate of expected credit losses is based on the aging of its accounts receivables. The allowance is adjusted on a specific identification basis for certain accounts as well as pooling of accounts with similar characteristics. The Company has a diverse customer base and had one customer representing approximately 28.1% and 20.4% of the accounts receivable balance as of December 31, 2025 and 2024, respectively. Historically, the Company’s reserves have been adequate to cover credit losses.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credit losses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expected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and consignment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from continuing operations was $8,033, $10,533 and $12,121 for the years ended December 31, 2025, 2024 and 2023, respectively. The Company incurred a $2,038 disposal loss on fixed assets during the year ended December 31, 2023 as a result of the integration of acquisitions. The loss was recorded in loss on disposals within the consolidated statements of operations and other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totaled $7,462 as of December 31, 2025 and 2024, all of which fully resides within the International business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goodwill impairment losses totaled $189,197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December 31: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Intellectual property</w:t>
            </w:r>
            <w:r>
              <w:rPr>
                <w:rFonts w:ascii="Times New Roman" w:cs="Times New Roman" w:eastAsia="Times New Roman" w:hAnsi="Times New Roman"/>
                <w:sz w:val="23"/>
                <w:szCs w:val="23"/>
                <w:color w:val="auto"/>
                <w:vertAlign w:val="superscript"/>
              </w:rPr>
              <w:t>(a)(b)</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61,325</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57,700</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IPR&amp;D</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carrying amount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764,530</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Intellectual property</w:t>
            </w:r>
            <w:r>
              <w:rPr>
                <w:rFonts w:ascii="Times New Roman" w:cs="Times New Roman" w:eastAsia="Times New Roman" w:hAnsi="Times New Roman"/>
                <w:sz w:val="23"/>
                <w:szCs w:val="23"/>
                <w:color w:val="auto"/>
                <w:vertAlign w:val="superscript"/>
              </w:rPr>
              <w:t>(a)(b)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(237,829)</w:t>
            </w: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Distribution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w:t>
            </w:r>
          </w:p>
        </w:tc>
      </w:tr>
      <w:tr>
        <w:trPr>
          <w:trHeight w:val="229"/>
        </w:trPr>
        <w:tc>
          <w:tcPr>
            <w:tcW w:w="82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w:t>
            </w: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(358,295)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 before currency translation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406,235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hanging="328"/>
        <w:spacing w:after="0" w:line="239" w:lineRule="auto"/>
        <w:tabs>
          <w:tab w:leader="none" w:pos="655"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Company recorded an impairment loss of $33,901 for the year ended December 31, 2024 within the U.S. reporting segment relating to the net intellectual property solely attributable to the Advanced Rehabilitation Business. The loss was recorded in impairment of assets within the consolidated statements of operations and comprehensive income (loss). Refer to Refer to </w:t>
      </w:r>
      <w:r>
        <w:rPr>
          <w:rFonts w:ascii="Times New Roman" w:cs="Times New Roman" w:eastAsia="Times New Roman" w:hAnsi="Times New Roman"/>
          <w:sz w:val="18"/>
          <w:szCs w:val="18"/>
          <w:i w:val="1"/>
          <w:iCs w:val="1"/>
          <w:color w:val="auto"/>
        </w:rPr>
        <w:t>Note 4. Divestitures</w:t>
      </w:r>
      <w:r>
        <w:rPr>
          <w:rFonts w:ascii="Times New Roman" w:cs="Times New Roman" w:eastAsia="Times New Roman" w:hAnsi="Times New Roman"/>
          <w:sz w:val="18"/>
          <w:szCs w:val="18"/>
          <w:color w:val="auto"/>
        </w:rPr>
        <w:t xml:space="preserve"> for further details regarding businesses held for sale.</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4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 previously classified as IPR&amp;D became active during the year ended December 31, 2025, following the receipt of FDA clearance for the TalisMann product. As a result, this intangible asset is now subject to amortization over its estimated useful life, which reflects the period of expected economic benefit.</w:t>
      </w:r>
    </w:p>
    <w:p>
      <w:pPr>
        <w:spacing w:after="0" w:line="7"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 intangible assets reached the end of their amortizable lives in 2024. The assets were written off in 2025.</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Amortization expense from continuing operations related to intangible assets was $38,978, $39,022 and $45,244 for the years ended December 31, 2025, 2024 and 2023, respectively, of which $22,080, $24,841 and $23,848 are included in ending inventory at December 31, 2025, 2024 and 2023, respectively. Estimated amortization expense for the years ended December 31, 2026 through 2030 is expected to be $34,500, $33,903, $33,096, $30,275 and $28,189, respectively. The Company recorded an impairment loss of $78,615 during the year ended December 31, 2023 in the U.S. reporting segment of net intellectual property attributable to the TheraSkin and TheraGenesis products, which were sold in May 2023. The loss was recorded in impairment of assets within the consolidated statements of operations and comprehensive income (loss). Refer to </w:t>
      </w:r>
      <w:r>
        <w:rPr>
          <w:rFonts w:ascii="Times New Roman" w:cs="Times New Roman" w:eastAsia="Times New Roman" w:hAnsi="Times New Roman"/>
          <w:sz w:val="18"/>
          <w:szCs w:val="18"/>
          <w:i w:val="1"/>
          <w:iCs w:val="1"/>
          <w:color w:val="auto"/>
        </w:rPr>
        <w:t>Note 4. Divestitures</w:t>
      </w:r>
      <w:r>
        <w:rPr>
          <w:rFonts w:ascii="Times New Roman" w:cs="Times New Roman" w:eastAsia="Times New Roman" w:hAnsi="Times New Roman"/>
          <w:sz w:val="18"/>
          <w:szCs w:val="18"/>
          <w:color w:val="auto"/>
        </w:rPr>
        <w:t xml:space="preserve"> for further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deductions</w:t>
            </w:r>
          </w:p>
        </w:tc>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and commission</w:t>
            </w:r>
          </w:p>
        </w:tc>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4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Divestitures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Rehabilitation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the Company completed the sale of certain products within its advanced rehabilitation business, including the L100, L300 Go, L360, H200, Vector Gait &amp; Safety System and Bioness Integrated Therapy System (collectively, the “Advanced Rehabilitation Business”). The divestiture aligns with the Company’s focus on core operations and the Advanced Rehabilitation Business required additional research and development expenditures to achieve its next stage of growth.</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cash proceeds of $24,678 at closing, net of transactional fees, which were subject to a post-closing adjustment for net working capital. The Company paid $686 in the second quarter of 2025 to settle the adjustment for net working capital. Net proceeds from the transaction were used to pay $20,000 in long-term debt obligations on December 31, 2024. The Company may also receive up to an additional $20,000 in contingent earn-out payments based on the achievement of certain revenue and financial performance thresholds related to the Advanced Rehabilitation Business during the fiscal years ending December 31, 2025 and 2026. The revenue and specified financial performance criteria for the fiscal year ended December 31, 2025 were not achieved. The Company incurred $2,500 in transactional fees during the year ended December 31, 2024 resulting from the divestiture of the Advanced Rehabilitation Business.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impairment losses of $33,901 during the year ended December 31, 2024 related to net intellectual property solely attributable to the Advanced Rehabilitation Business. These losses, measured at fair value less costs to sell based on the purchaser’s consideration, were recognized in impairment of assets on the consolidated statements of operations and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Wound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22, 2023, the Company closed the sale of certain assets within its Wound Business, including the TheraSkin and TheraGenesis products (collectively, the “Wound Business” or the “Disposal Group”), for potential consideration of $84,675, including $34,675 at closing, $5,000 deferred for 18 months and up to $45,000 in potential earn-out payments, which are based on the achievement of certain revenue thresholds by the purchaser of the Wound Business for sales of the TheraSkin and TheraGenesis products during the 2024, 2025 and 2026 fiscal years. The Company received the deferred payment in November 2024, which was used to pay $5,000 of long-term debt obligations. The Disposal Group did not meet the revenue thresholds required for the Company to earn contingent consideration for the fiscal years ended December 31, 2024 and 2025, thereby lessening the potential earn-out payments to $20,000.</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incurred $3,880 in transactional fees resulting from the sale of the Wound Business. The loss resulting from the deconsolidation of the Disposal Group totaled $1,539 for the year ended December 31, 2023 and was recorded in loss on disposals within the consolidated statements of operations and comprehensive income (loss). The Company used the proceeds from the sale of its Wound Business to prepay $30,000 of long-term debt obligations. Refer to </w:t>
      </w:r>
      <w:r>
        <w:rPr>
          <w:rFonts w:ascii="Times New Roman" w:cs="Times New Roman" w:eastAsia="Times New Roman" w:hAnsi="Times New Roman"/>
          <w:sz w:val="18"/>
          <w:szCs w:val="18"/>
          <w:i w:val="1"/>
          <w:iCs w:val="1"/>
          <w:color w:val="auto"/>
        </w:rPr>
        <w:t>Note 5. Financial Instruments</w:t>
      </w:r>
      <w:r>
        <w:rPr>
          <w:rFonts w:ascii="Times New Roman" w:cs="Times New Roman" w:eastAsia="Times New Roman" w:hAnsi="Times New Roman"/>
          <w:sz w:val="18"/>
          <w:szCs w:val="18"/>
          <w:color w:val="auto"/>
        </w:rPr>
        <w:t xml:space="preserve"> for further details regarding the Company’s outstanding long-term debt obligations.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Wound Business for impairment prior to its sale and recorded a $78,615 impairment within the consolidated statements of operations and comprehensive income (loss) during the year ended December 31, 2023 as a result of this evaluation to reduce the intangible assets of the Disposal Group to reflect their respective fair values less any costs to sell.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Financial Instruments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Credit Agreement</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2019 Credit and Guaranty Agreement</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Term Loan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c>
          <w:tcPr>
            <w:tcW w:w="460" w:type="dxa"/>
            <w:vAlign w:val="bottom"/>
            <w:shd w:val="clear" w:color="auto" w:fill="CCEEFF"/>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Term Loan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337,864</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60" w:type="dxa"/>
            <w:vAlign w:val="bottom"/>
            <w:shd w:val="clear" w:color="auto" w:fill="CCEEFF"/>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(27,339)</w:t>
            </w: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6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460" w:type="dxa"/>
            <w:vAlign w:val="bottom"/>
            <w:shd w:val="clear" w:color="auto" w:fill="CCEEFF"/>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discount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39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278,951</w:t>
            </w:r>
          </w:p>
        </w:tc>
        <w:tc>
          <w:tcPr>
            <w:tcW w:w="4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308,288</w:t>
            </w:r>
          </w:p>
        </w:tc>
      </w:tr>
      <w:tr>
        <w:trPr>
          <w:trHeight w:val="20"/>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the Company entered into a Credit Agreement (the “2025 Credit Agreement”) with Wells Fargo Bank, National Association, and a syndicate of financial institutions and other entities (collectively, the “Lenders”). The 2025 Credit Agreement consists of a $300,000 term loan facility (the “2025 Term Loan”) and a $100,000 revolving credit facility (the “2025 Revolver” and, together with the 2025 Term Loan, the “2025 Term Loan Facilities”).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Proceeds from the 2025 Term Loan, borrowings of $30,000 under the 2025 Revolver, and $2,562 in available cash were used to repay the outstanding balance under the 2019 Credit and Guaranty Agreement, as amended, which totaled $332,562 as of July 31, 2025 and is further described below under </w:t>
      </w:r>
      <w:r>
        <w:rPr>
          <w:rFonts w:ascii="Times New Roman" w:cs="Times New Roman" w:eastAsia="Times New Roman" w:hAnsi="Times New Roman"/>
          <w:sz w:val="18"/>
          <w:szCs w:val="18"/>
          <w:i w:val="1"/>
          <w:iCs w:val="1"/>
          <w:color w:val="auto"/>
        </w:rPr>
        <w:t>Amended Term Loan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repayment of the outstanding balance under the 2019 Credit and Guaranty Agreement on a creditor-by-creditor basis. With respect to the continuing creditors, the Company accounted for these transactions as debt modifications; with respect to the new lender, the Company accounted for this transaction as an issuance of new debt; and with respect to exiting creditors, the Company accounted for these transactions as debt extinguishments.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2025 Credit Agreement, the Company received cash proceeds of $28,125 from a new creditor and $5,078, net of repayments, from several continuing creditors. In connection with the termination of the 2019 Credit and Guaranty Agreement, the Company paid $65,765, primarily to exiting creditors, with a portion paid to a continuing creditor that was partially extinguished. The Company recorded an original issue discount of $1,296 related to the 2025 Credit Agreement, which was capitalized within the consolidated balance sheets. These capitalized discounts are amortized as interest expense, net, on a straight-line basis over the term of the 2025 Term Loan Facilities, which approximates the effective interest method. The majority of the capitalized discounts originated from loans with continuing creditors.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loss on extinguishment of $326, which is included in the consolidated statement of operations and comprehensive income (loss) for the year ended December 31, 2025. This loss reflects the write-off of unamortized deferred financing costs and discounts associated with certain financial institutions under the 2019 Credit and Guaranty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incurred $794 in third-party costs associated with the debt modification, which were expensed as incurred and recorded within selling, general and administrative expense within the consolidated statement of operations and comprehensive income (loss) for the year ended December 31,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outstanding balance on the 2025 Term Loan was $293,951, net of discount of $1,729 and deferred financing costs of $570. These amounts include portions of the original issue discounts and deferred financing costs attributable to returning Lenders from the 2019 Credit and Guaranty Agreement. Interest expense, net includes deferred cost amortization of $1,161, $1,524 and $1,706 for the years ended December 31, 2025, 2024 and 2023, respectively. The effective interest rate on the 2025 Term Loan was 6.09% as of December 31,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Term Loan and 2025 Revolver mature on July 31, 2030 (“Maturity”). On December 31, 2025, the Company paid $3,750 of principal related to the 2025 Term Loan. As of December 31, 2025, scheduled principal payments for the 2025 Term Loan are as follows :</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Scheduled Quarterly Payments</w:t>
            </w:r>
          </w:p>
        </w:tc>
        <w:tc>
          <w:tcPr>
            <w:tcW w:w="460" w:type="dxa"/>
            <w:vAlign w:val="bottom"/>
          </w:tcPr>
          <w:p>
            <w:pPr>
              <w:spacing w:after="0"/>
              <w:rPr>
                <w:sz w:val="16"/>
                <w:szCs w:val="16"/>
                <w:color w:val="auto"/>
              </w:rPr>
            </w:pPr>
          </w:p>
        </w:tc>
        <w:tc>
          <w:tcPr>
            <w:tcW w:w="172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3"/>
        </w:trPr>
        <w:tc>
          <w:tcPr>
            <w:tcW w:w="4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Final payment at Maturity</w:t>
            </w:r>
          </w:p>
        </w:tc>
        <w:tc>
          <w:tcPr>
            <w:tcW w:w="230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2025 Term Loan, using the midpoint of the Bloomberg Valuation, was $286,252 as of December 31, 2025. This is classified as a Level 2 instrument within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- 2025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Loan and the 2025 Revolver permit the Company to elect either the Secured Overnight Financing Rate (“SOFR”) or the Base Rate (“BR”) option for all or portions of the borrowings. Both rate options are calculated using a base interest rate plus a margin, which is determined based on the Company’s leverage ratio—defined as the ratio of consolidated net indebtedness to consolidated EBITDA, as specified in the 2025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 borrowings accrue interest based on the Federal Funds Rate plus 0.50%, with interest payments due on the last day of each calendar quarter. SOFR borrowings accrue interest over a designated interest period (“Interest Period”) of one, three or six months at the Company’s discretion. Interest is payable on the last day of each Interest Period, or every three months for Interest Periods longer than three months. The applicable interest margins under the 2025 Credit Agreement are 2.50% and 1.50% for SOFR and BR loans,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interest margin is subject to adjustment based on a pricing grid, which reflects changes in the Company’s leverage ratio following delivery of quarterly financial statements to the Lenders: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336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1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BR</w:t>
            </w:r>
          </w:p>
        </w:tc>
        <w:tc>
          <w:tcPr>
            <w:tcW w:w="1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23"/>
        </w:trPr>
        <w:tc>
          <w:tcPr>
            <w:tcW w:w="4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2.00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 to 1.00 &lt; 2.50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 to 1.00 &lt; 3.00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3.00 to 1.00 &lt; 3.50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3.50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totaled $27,043, $38,507 and $32,470 for the years ended December 31, 2025,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Revolver and Letters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on the average daily amount of the unused revolving commitment, inclusive of revolving loans, swingline loans, and letters of credit (“LOC”). The commitment fee is payable quarterly in arrears on the last day of each calendar quarter and at Maturity. The commitment fee rate is subject to adjustment based on the Company’s leverage ratio. Swingline loans are available as BR option loans and total LOC availability is limited to $7,500 under the 2025 Credit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three LOCs outstanding, reducing LOC capacity to approximately $5,300. All outstanding LOCs incur fees equal to the interest margin for SOFR based loans under the 2025 Revolver, applied to the undrawn and unexpired amount of each LOC. These LOC fees are payable quarterly in arrears. In 2025, the Company fully repaid the $30,000 borrowed on its 2025 Revolver. As of December 31, 2025, the Company had $100,000 available under the 2025 Revolver, excluding the effect of outstanding LOCs.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- 2025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the ability of the Company to, subject to negotiated exceptions, incur additional indebtedness, liens on its assets, engage in acquisitions or dispositions, pay dividends or make other distributions, enter into transactions with affiliated persons, make investments, change the nature of its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4.00 to 1.00 for the fiscal quarter ending December 31, 2025 and starting with the fiscal quarter ending March 31, 2026, and for each fiscal quarter thereafter, a maximum consolidated total net leverage ratio of 3.50 to 1.00. The Company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The Company does not expect any of these covenants or restrictions to affect or limit its ability to conduct business in the ordinary course.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the financial covenants under the 2025 Credit Agreement as of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Term Loan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6, 2019, the Company entered into the Credit and Guaranty Agreement (“2019 Credit Agreement”) that consisted of a $200,000 term loan (“Original Term Loan”) and a $50,000 revolving facility (the “Revolver”). The Company amended the 2019 Credit Agreement on August 29, 2021, and then again on October 29, 2021 in connection with the acquisition of Misonix, Inc. in which the Company prepaid $80,000 on the Original Term Loan. The 2019 Credit Agreement, as amended, subsequent to the prepayment, consisted of a $360,750 term loan (“Term Loan”) and the Revolver.</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11, 2022, the Company amended the 2019 Credit Agreement in conjunction with the acquisition of CartiHeal (2009) Ltd. (“CartiHeal”). Pursuant to that amendment, an $80,000 term loan facility (the “July 2022 Term Loan” and, together with the Term Loan, the “Term Loan Facilities”) was extended to the Company to be used primarily for the financing of the acquisition of CartiHeal. On March 31, 2023 and January 18, 2024, the Company further amended the 2019 Credit Agreement (collectively, with the prior amendments, the “Amended 2019 Credit Agreement”) to, among other things, modify certain financial covenants, waive covenant noncompliance at December 31, 2022, and modify interest rates applicable to borrowings under the 2019 Credit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January 2024 amendment had deferred financing costs of $1,180, of which $325 was expensed and $855 was capitalized. The March 2023 amendment had deferred financing costs of $3,661, of which $1,617 was expensed and $2,044 was capitalized. There were no losses on debt refinancing and modification as a result of either the January 2024 or March 2023 amendments. Expensed deferred financing costs resulting from the amendments were recorded in selling, general and administrative expense within the consolidated statements of operations and other comprehensive income (loss) and amounts capitalized were recorded primarily in long-term debt, less current portion within the consolidated balance sheets.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2025, the date of repayment, $331,037 was outstanding on the Term Loan Facilities, net of original issue discount of $743 and deferred financing costs of $782.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was initially established as a five-year revolving credit facility and was subsequently amended to a four-year term pursuant to the Amended 2019 Credit Agreement. The Revolver’s capacity was reduced by $5,000 on both December 31, 2023 and June 30, 2024 in accordance with the Amended 2019 Credit Agreement, resulting in an aggregate borrowing capacity of $40,000. During the first quarter of 2025, the Company borrowed $15,000 on the Revolver to support working capital needs, which has been fully repaid. The Company had no outstanding borrowings on the Revolver for the year ended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two interest rate swaps to mitigate the interest rate risk associated with its floating-rate SOFR-based borrowings under the 2025 Credit Agreement. Under the terms of the swaps, the Company pays a fixed interest rate in exchange for SOFR-based variable interest throughout the life of the instruments, the majority of which expire July 31, 2028. The interest rate swaps have a weighted average fixed interest rate of 3.60% and an aggregate notional value of $150,000, or 50.0% of the 2025 Term Loan. Refer to </w:t>
      </w:r>
      <w:r>
        <w:rPr>
          <w:rFonts w:ascii="Times New Roman" w:cs="Times New Roman" w:eastAsia="Times New Roman" w:hAnsi="Times New Roman"/>
          <w:sz w:val="18"/>
          <w:szCs w:val="18"/>
          <w:i w:val="1"/>
          <w:iCs w:val="1"/>
          <w:color w:val="auto"/>
        </w:rPr>
        <w:t>Note 6. Fair Value Measurements</w:t>
      </w:r>
      <w:r>
        <w:rPr>
          <w:rFonts w:ascii="Times New Roman" w:cs="Times New Roman" w:eastAsia="Times New Roman" w:hAnsi="Times New Roman"/>
          <w:sz w:val="18"/>
          <w:szCs w:val="18"/>
          <w:color w:val="auto"/>
        </w:rPr>
        <w:t xml:space="preserve"> for additional information regarding the valuation of the interest rate swaps.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Fair Value Measurements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measured at fair value on a recurring basis and there were no liabilities valued at fair value using Level 1 inputs at December 31, 2025 and 2024. The following table provides information for assets and liabilities measured at fair value on a recurring basis using Level 2 and Level 3 inputs: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2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w:t>
            </w:r>
          </w:p>
        </w:tc>
        <w:tc>
          <w:tcPr>
            <w:tcW w:w="2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portion of contingent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0" w:type="dxa"/>
            <w:vAlign w:val="bottom"/>
          </w:tcPr>
          <w:p>
            <w:pPr>
              <w:spacing w:after="0"/>
              <w:rPr>
                <w:sz w:val="1"/>
                <w:szCs w:val="1"/>
                <w:color w:val="auto"/>
              </w:rPr>
            </w:pPr>
          </w:p>
        </w:tc>
      </w:tr>
      <w:tr>
        <w:trPr>
          <w:trHeight w:val="243"/>
        </w:trPr>
        <w:tc>
          <w:tcPr>
            <w:tcW w:w="18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interest rate swaps designated as cash flow hedges to manage exposure to variability in interest payments on its variable-rate debt. The fair value of these instruments represents the amount at which the swaps could be settled in an orderly transaction. This value is based on estimates derived from a quantitative regression analysis using Level 2 inputs, and is validated through comparisons with estimates provided by counterparties. Fair value measurements incorporate credit valuation adjustments to reflect the potential nonperformance or credit risk of both the Company and its counterparties.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effectiveness of its hedge instruments quarterly and both instruments were effective as of December 31, 2025. The Company does not hold or issue derivative instruments for trading purposes. Cash flows associated with hedging instruments are presented in the same category in the statement of cash flows as those of the hedged item. Accordingly, settlements of interest rate swaps are classified as operating activities, consistent with the classification of interest payments on the related debt.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Changes in the fair value of interest rate swaps are recorded each period in either accumulated other comprehensive income (“AOCI”) within the consolidated balance sheets or as interest expense, net within the consolidated statements of operations and comprehensive income (loss), depending on the effectiveness of the hedge.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changes deemed effective are recorded in AOCI and subsequently reclassified into interest expense, net, during the same period in which the hedged transaction impacts earnings. Any portion of the fair value determined to be ineffective is recognized immediately in interest expense, net within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loss recognized in AOCI for the year ended December 31, 2025:</w:t>
      </w:r>
    </w:p>
    <w:p>
      <w:pPr>
        <w:spacing w:after="0" w:line="151"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Loss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9260" w:val="left"/>
          <w:tab w:leader="none" w:pos="10880" w:val="left"/>
        </w:tabs>
        <w:rPr>
          <w:sz w:val="20"/>
          <w:szCs w:val="20"/>
          <w:color w:val="auto"/>
        </w:rPr>
      </w:pPr>
      <w:r>
        <w:rPr>
          <w:rFonts w:ascii="Times New Roman" w:cs="Times New Roman" w:eastAsia="Times New Roman" w:hAnsi="Times New Roman"/>
          <w:sz w:val="18"/>
          <w:szCs w:val="18"/>
          <w:color w:val="auto"/>
        </w:rPr>
        <w:t>Change in the fair value of cash flow hedges</w:t>
      </w:r>
      <w:r>
        <w:rPr>
          <w:rFonts w:ascii="Times New Roman" w:cs="Times New Roman" w:eastAsia="Times New Roman" w:hAnsi="Times New Roman"/>
          <w:sz w:val="23"/>
          <w:szCs w:val="23"/>
          <w:color w:val="auto"/>
          <w:vertAlign w:val="superscript"/>
        </w:rPr>
        <w: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802</w:t>
      </w:r>
    </w:p>
    <w:p>
      <w:pPr>
        <w:spacing w:after="0" w:line="157" w:lineRule="exact"/>
        <w:rPr>
          <w:sz w:val="20"/>
          <w:szCs w:val="20"/>
          <w:color w:val="auto"/>
        </w:rPr>
      </w:pPr>
    </w:p>
    <w:p>
      <w:pPr>
        <w:ind w:left="660" w:hanging="328"/>
        <w:spacing w:after="0" w:line="229" w:lineRule="auto"/>
        <w:tabs>
          <w:tab w:leader="none" w:pos="655"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total change in fair value of cash flow hedges recognized during the period, of which $189 was recognized in AOCI attributable to noncontrolling interest.</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income tax benefit or expense associated with the Company’s interest rate swaps or reclassifications out of AOCI during the year ended December 31, 2025. The Company maintains a full valuation allowance against its deferred tax assets.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payables and receivables under the interest rate swaps are accrued and recorded as adjustments to interest expense, net within the consolidated statements of operations and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initially values contingent consideration related to business combinations using a probability-weighted calculation of potential payment scenarios discounted at rates reflective of the risks associated with the expected future cash flows for certain milestones. For other milestones, the Company used a variation of the income approach where revenue was simulated in a risk-neutral framework using Geometric Brownian Motion, a stock price behavior model.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Key assumptions used to estimate the fair value of contingent consideration include projected financial information, market data and the probability and timing of achieving the specific targets. After the initial valuation, the Company generally uses its best estimate to measure contingent consideration at each subsequent reporting period using unobservable Level 3 inputs.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Unobservable Inputs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unobservable Level 3 inputs utilized for the above liabilities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3"/>
        </w:trPr>
        <w:tc>
          <w:tcPr>
            <w:tcW w:w="41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6.4% - 6.8%</w:t>
            </w:r>
          </w:p>
        </w:tc>
      </w:tr>
      <w:tr>
        <w:trPr>
          <w:trHeight w:val="234"/>
        </w:trPr>
        <w:tc>
          <w:tcPr>
            <w:tcW w:w="4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Payment period</w:t>
            </w:r>
          </w:p>
        </w:tc>
        <w:tc>
          <w:tcPr>
            <w:tcW w:w="230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changes in these assumptions could have resulted in a higher or lower fair value. The contingent consideration reported in the above table resulted from the acquisition of Bioness, Inc. (“Bioness”) on March 30, 2021 and was comprised of future earn-out payments contingent upon the achievement of certain research and development projects as well as sales milestones related to Bioness products. Contingent consideration resulting from the acquisition of Bioness included up to $50,000 in earn-out payments, consisting of: (i) $20,000 for meeting net sales targets for certain implantable products over a three year period ending on June 30, 2025 at the latest; (ii) up to $10,000 for meeting net sales milestones for certain implantable products over a three year period ending on June 30, 2025 at the latest; and (iii) $20,000 for maintaining Centers for Medicare &amp; Medicaid Services coverage and reimbursement for certain products at specified levels as of December 31, 2024. The Company met criteria (iii) during the fourth quarter of 2024 and paid $19,771 of the contingent consideration during the year ended December 31, 2025. The Company has no future contingent consideration obligations from its acquisition of Bioness.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consideration was adjusted quarterly based on the passage of time or the anticipated success or failure of achieving certain milestones and was recorded as the change in the fair value of contingent consideration within the consolidated statements of operations and comprehensive income (loss). There were no changes in the fair value of contingent consideration related to Bioness for the year ended December 31, 2025. Changes in contingent consideration totaled $1,423 and $719 for the years ended December 31,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Equity-Based Compensation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 equity-based compensation plan (“2021 Plan”), which allows for the issuance of stock options (incentive and nonqualified), restricted stock, dividend equivalents, restricted stock units (“RSUs”), performance restricted stock units (“PRSUs”), and other stock-based and cash awards (collectively, the “2021 Plan Awards”). As of December 31, 2025, 23,233,862 shares of Class A common stock were authorized to be awarded and 11,346,834 shares were available for 2021 Plan Awards.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operates the 2023 Retention Equity Award Plan (the “2023 Plan” and, together with the 2021 Plan, the “Plans”), the purpose of which is to retain and motivate critical personnel over the short-term by providing them additional incentives in the form of RSUs (the “Retention Awards” and together with the “2021 Plan Awards,” the “Awards”). As of December 31, 2025, 600,000 shares of Class A common stock were authorized to be awarded under the 2023 Plan and 69,050 shares were available for Retention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Activity under the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Equity-based compensation expense for Awards granted under the Plans and inducement awards for the years ended December 31, 2025, 2024 and 2023 totaled $12,193, $12,829 and $2,370, respectively. The expense is primarily included in selling, general and administrative expense with a nominal amount in research and development expense on the consolidated statements of operations and comprehensive income (loss) based upon the classification of the employee. There were no income tax benefits related to equity-based compensation expense for the years ended December 31, 2025, 2024 and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granted time-based RSUs which vest at various dates through November 15, 2029. RSU compensation expense is recognized over the vesting period, which is typically between 1 and 4 years. Unamortized compensation expense related to the RSUs totaled $8,968 at December 31, 2025, and is expected to be recognized over a weighted average period of approximately 2.73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award activity for the years ended December 31, 2025 and 2024 are as follows (number of units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37"/>
        </w:trPr>
        <w:tc>
          <w:tcPr>
            <w:tcW w:w="8280" w:type="dxa"/>
            <w:vAlign w:val="bottom"/>
          </w:tcPr>
          <w:p>
            <w:pPr>
              <w:spacing w:after="0"/>
              <w:rPr>
                <w:sz w:val="11"/>
                <w:szCs w:val="11"/>
                <w:color w:val="auto"/>
              </w:rPr>
            </w:pPr>
          </w:p>
        </w:tc>
        <w:tc>
          <w:tcPr>
            <w:tcW w:w="14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unit</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PRSUs subject to a 3-year cliff vesting period, contingent upon the achievement of a designated market condition at the end of the vesting term. The market condition is based on the Company’s relative total shareholder return (“TSR”). Compensation expense related to PRSUs is recognized on a straight-line basis over the 3-year vesting period.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The number of shares of Class A common stock issuable upon vesting of the PRSUs is determined based on achievement of the TSR. Actual shares issued may range from 0% to 200% of the target award granted.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Unamortized compensation expense related to PRSUs totaled $1,178 at December 31, 2025, and is expected to be recognized over a weighted-average period of approximately two years. A summary of PRSU award activity for the year ended December 31, 2025 is as follows (number of units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6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112</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4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granted time-based stock options which vest over 1 to 4 years following the date of grant and expire within 10 years. The fair value of time-based stock options is determined using the Black-Scholes valuation model, with such value recognized as expense over the service period, which is typically 1 to 4 years, net of actual forfeitures. A summary of the Company’s assumptions used in determining the fair value of the stock options granted during the years ended December 31, 2025 and 2024 are shown in the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20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2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- 4.5%</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- 4.3%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- 38.9%</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- 38.2%</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 ended December 31, 2025 was $4.19 per share. The expected term of the options granted is estimated using the simplified method. Expected volatility is based on the historical volatility of the Company’s peers’ common stock. The risk-free interest rate is determined based upon a constant U.S. Treasury security rate with a contractual life that approximates the expected term of the option. Unamortized compensation expense related to the options totaled $2,516 at December 31, 2025, and is expected to be recognized over a weighted average period of approximately 2.77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 for the years ended December 31, 2025 and 2024 (number of options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 term</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intrinsic value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and vested at December 31, 2025</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2,268</w:t>
            </w:r>
          </w:p>
        </w:tc>
        <w:tc>
          <w:tcPr>
            <w:tcW w:w="24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660" w:hanging="328"/>
        <w:spacing w:after="0" w:line="235" w:lineRule="auto"/>
        <w:tabs>
          <w:tab w:leader="none" w:pos="724"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is based upon the difference between the Company’s closing stock price at the date of the consolidated balance sheets and the exercise price of the stock option for in-the-money stock options. The intrinsic value of outstanding stock options fluctuates based upon the trading value of the Company’s Class A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 non-qualified Employee Stock Purchase Plan (“ESPP”), that allows eligible employees to purchase shares of Class A common stock through payroll deductions at a discounted price. As of December 31, 2025, 1,713,325 shares were reserved for issuance under the ESPP. A total of 208,147, 229,767 and 516,976 shares were issued under the ESPP and $480, $445 and $352 of expense was recognized for the years ended December 31, 2025,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defined contribution plans which are offered in Canada, Germany, the Netherlands, the United Kingdom and Israel. In some cases, these plans are required by local laws or regulations. Contributions are primarily discretionary, except in some countries where contributions are contractually required. These plans cover substantially all eligible employees in the countries where the plans are offered either voluntarily or statutorily.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Company provides a 401(k) defined contribution plan (“U.S. Plan”) that covers substantially all U.S. employees that meet minimum age requirements. The Company matches 100% of the employees’ contribution up to 4% of the employees’ wages and 50% on the next 2%. The U.S. Plan also provides for an additional matching contribution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contributions totaled $5,797, $6,715, and $5,836 for all global plans during the years ended December 31, 2025, 2024 and 2023, respectively. The expense is included in cost of sales, selling, general and administrative expense and research and development expense on the consolidated statement of operations and comprehensive income (loss) based upon the classification of the employee.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Stockholders’ Equity</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16, 2021, the Company closed an IPO of 9,200,000 shares of Class A common stock through an UP-C structure with BV LLC. In connection with the IPO, the Company amended and restated the limited liability agreement of BV LLC (“BV LLC Agreement”) to provide for a new single class of common membership interests in BV LLC (“LLC Interests”) and exchange all of the existing membership interests in BV LLC (the “Original BV LLC Owners”) for new LLC Interests. The Company also amended its certificate of incorporation to authorize the following shares: (i) 250,000,000 shares of Class A common stock with a par value of $0.001 per share; (ii) 50,000,000 shares of Class B common stock with a par value of $0.001 per share, which have voting rights but no economic interest, and some of which were issued to the Original BV LLC Owners; and (iii) 10,000,000 shares of undesignated preferred stock that may be issued from time to time by the Company’s board of directors. In connection with the completion of the IPO, the Company acquired, by merger, certain entities that were part of the Original BV LLC Owners (“Former BV LLC Owners”), for which the Company issued 31,838,589 Class A common stock as merger consideration (“IPO Mergers”) and cancelled the Class B common stock held by such Former BV LLC Owners. The IPO Mergers are deemed to be a recapitalization transaction.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the Company’s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Smith &amp; Nephew, Inc. (the “Continuing LLC Owner”). Shares of Class B common stock are transferable only together with an equal number of LLC Interests. Shares of Class B common stock will be canceled on a one-for-one basis upon the redemption or exchange of any outstanding LLC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any redemption pursuant to the BV LLC Agreement, the Company will receive a corresponding number of LLC Interests, increasing its ownership interest in BV LLC. Future redemptions of LLC Interests will result in a change in ownership and reduce the amount recorded as noncontrolling interest and increase additional paid-in capital. There were no redemptions during the years ended December 31, 2025 and 2024. The following table summarizes the ownership interest in BV LLC as of December 31 (number of units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3"/>
          </w:tcPr>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gridSpan w:val="3"/>
          </w:tcPr>
          <w:p>
            <w:pPr>
              <w:jc w:val="right"/>
              <w:ind w:right="12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6"/>
        </w:trPr>
        <w:tc>
          <w:tcPr>
            <w:tcW w:w="5080" w:type="dxa"/>
            <w:vAlign w:val="bottom"/>
          </w:tcPr>
          <w:p>
            <w:pPr>
              <w:spacing w:after="0"/>
              <w:rPr>
                <w:sz w:val="16"/>
                <w:szCs w:val="16"/>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Ownership %</w:t>
            </w:r>
          </w:p>
        </w:tc>
      </w:tr>
      <w:tr>
        <w:trPr>
          <w:trHeight w:val="37"/>
        </w:trPr>
        <w:tc>
          <w:tcPr>
            <w:tcW w:w="50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owned</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Bioventus Inc.</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65,758</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LLC Owner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85"/>
        </w:trPr>
        <w:tc>
          <w:tcPr>
            <w:tcW w:w="5080" w:type="dxa"/>
            <w:vAlign w:val="bottom"/>
          </w:tcPr>
          <w:p>
            <w:pPr>
              <w:spacing w:after="0"/>
              <w:rPr>
                <w:sz w:val="24"/>
                <w:szCs w:val="24"/>
                <w:color w:val="auto"/>
              </w:rPr>
            </w:pPr>
          </w:p>
        </w:tc>
        <w:tc>
          <w:tcPr>
            <w:tcW w:w="134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Earnings Per Share</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of Class A common stock (amounts in thousands, except share and per share data) for the years ending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(121,196)</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interests—continuing operations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0" w:type="dxa"/>
            <w:vAlign w:val="bottom"/>
          </w:tcPr>
          <w:p>
            <w:pPr>
              <w:spacing w:after="0"/>
              <w:rPr>
                <w:sz w:val="1"/>
                <w:szCs w:val="1"/>
                <w:color w:val="auto"/>
              </w:rPr>
            </w:pPr>
          </w:p>
        </w:tc>
      </w:tr>
      <w:tr>
        <w:trPr>
          <w:trHeight w:val="156"/>
        </w:trPr>
        <w:tc>
          <w:tcPr>
            <w:tcW w:w="67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Bioventus Inc. Class A</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8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(96,738)</w:t>
            </w:r>
          </w:p>
        </w:tc>
        <w:tc>
          <w:tcPr>
            <w:tcW w:w="0" w:type="dxa"/>
            <w:vAlign w:val="bottom"/>
          </w:tcPr>
          <w:p>
            <w:pPr>
              <w:spacing w:after="0"/>
              <w:rPr>
                <w:sz w:val="1"/>
                <w:szCs w:val="1"/>
                <w:color w:val="auto"/>
              </w:rPr>
            </w:pPr>
          </w:p>
        </w:tc>
      </w:tr>
      <w:tr>
        <w:trPr>
          <w:trHeight w:val="221"/>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stockholders—continuing operations</w:t>
            </w: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0" w:type="dxa"/>
            <w:vAlign w:val="bottom"/>
          </w:tcPr>
          <w:p>
            <w:pPr>
              <w:spacing w:after="0"/>
              <w:rPr>
                <w:sz w:val="1"/>
                <w:szCs w:val="1"/>
                <w:color w:val="auto"/>
              </w:rPr>
            </w:pPr>
          </w:p>
        </w:tc>
      </w:tr>
      <w:tr>
        <w:trPr>
          <w:trHeight w:val="156"/>
        </w:trPr>
        <w:tc>
          <w:tcPr>
            <w:tcW w:w="67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loss attributable to Bioventus Inc. Class A</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0" w:type="dxa"/>
            <w:vAlign w:val="bottom"/>
          </w:tcPr>
          <w:p>
            <w:pPr>
              <w:spacing w:after="0"/>
              <w:rPr>
                <w:sz w:val="1"/>
                <w:szCs w:val="1"/>
                <w:color w:val="auto"/>
              </w:rPr>
            </w:pPr>
          </w:p>
        </w:tc>
      </w:tr>
      <w:tr>
        <w:trPr>
          <w:trHeight w:val="216"/>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stockholders—discontinued operations</w:t>
            </w:r>
          </w:p>
        </w:tc>
        <w:tc>
          <w:tcPr>
            <w:tcW w:w="3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weighted-average shares of Class A common stock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66,622,631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64,547,474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62,647,554</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effects of:</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weighted-average shares of Class A common stock outstanding</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64,547,474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62,647,554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 Class A common stock, from</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75"/>
        </w:trPr>
        <w:tc>
          <w:tcPr>
            <w:tcW w:w="6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of Class A common stock, from</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operations—basic</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stock—basic</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 Class A common stock, from</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75"/>
        </w:trPr>
        <w:tc>
          <w:tcPr>
            <w:tcW w:w="6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of Class A common stock, from</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operations—diluted</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Class B common stock do not share in the losses of the Company and are therefore not participating securities. As such, separate presentation of basic and diluted losses per share of Class B common stock under the two-class method has not been presented.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weighted-average potentially dilutive shares were excluded from the calculation of diluted net income (loss) per share because the effect of including such potentially dilutive shares would have been antidilutive upon conversion for the years ending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9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9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9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1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LLC Interests held by Continuing LLC Owner</w:t>
            </w:r>
            <w:r>
              <w:rPr>
                <w:rFonts w:ascii="Times New Roman" w:cs="Times New Roman" w:eastAsia="Times New Roman" w:hAnsi="Times New Roman"/>
                <w:sz w:val="23"/>
                <w:szCs w:val="23"/>
                <w:color w:val="auto"/>
                <w:vertAlign w:val="superscript"/>
              </w:rPr>
              <w:t>(a)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(b)</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2,239,466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2,289,436</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5,860,516</w:t>
            </w: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(c)</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637,600</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8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595,030</w:t>
            </w: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18,663,803</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18,087,225</w:t>
            </w:r>
          </w:p>
        </w:tc>
        <w:tc>
          <w:tcPr>
            <w:tcW w:w="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22,242,283</w:t>
            </w:r>
          </w:p>
        </w:tc>
      </w:tr>
      <w:tr>
        <w:trPr>
          <w:trHeight w:val="20"/>
        </w:trPr>
        <w:tc>
          <w:tcPr>
            <w:tcW w:w="5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55"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of Class A common stock reserved for future issuance upon redemption or exchange of LLC Interests by the Continuing LLC Owner. LLC Interests are neither dilutive nor antidilutive for the periods presented as the assumed redemption for shares of Class A common stock would cause a proportionate increase to net income (loss) attributable to Class A common shareholders—diluted.</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with exercise prices greater than the average market price of our Class A common stock are excluded from the computation of diluted net income (loss) per share because they are out-of-the-money.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29" w:lineRule="auto"/>
        <w:tabs>
          <w:tab w:leader="none" w:pos="655" w:val="left"/>
        </w:tabs>
        <w:numPr>
          <w:ilvl w:val="1"/>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portion of the restricted stock units are considered antidilutive under the treasury stock method as the number of shares that could be purchased with the assumed proceeds of the restricted stock units exceed the total amount of the underlying shares outstanding.</w:t>
      </w:r>
    </w:p>
    <w:p>
      <w:pPr>
        <w:spacing w:after="0" w:line="189" w:lineRule="exact"/>
        <w:rPr>
          <w:rFonts w:ascii="Times New Roman" w:cs="Times New Roman" w:eastAsia="Times New Roman" w:hAnsi="Times New Roman"/>
          <w:sz w:val="23"/>
          <w:szCs w:val="23"/>
          <w:color w:val="auto"/>
          <w:vertAlign w:val="superscript"/>
        </w:rPr>
      </w:pPr>
    </w:p>
    <w:p>
      <w:pPr>
        <w:ind w:left="300" w:hanging="292"/>
        <w:spacing w:after="0"/>
        <w:tabs>
          <w:tab w:leader="none" w:pos="3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 Costs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are not allocated to the Company’s reportable segments as they are not part of the segment performance measures regularly reviewed by management. These charges are included in restructuring costs in the consolidated statements of operations and comprehensive income (loss). Liabilities associated from restructuring costs are recorded in accrued liabilities on the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Company implemented a restructuring plan (the “2025 Restructuring Plan”) designed to optimize its organizational structure, including the elimination of several positions and the consolidation of administrative functions. Planned pre-tax charges associated with the 2025 Restructuring Plan are expected to total $3,000, consisting entirely of employee severance costs. Restructuring costs associated with the 2025 Restructuring Plan totaled $2,235 for the year ended December 31,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prior restructuring plans adopted in 2021 and 2022 (the “Prior Restructuring Plans”) focused on aligning its organizational and management cost structure to improve profitability and cash flow. There was a restructuring expense reversal of $52 during the year ended December 31, 2024 and restructuring expenses of $840 during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restructuring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Restructuring</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2025 Restructuring</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4"/>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0" w:type="dxa"/>
            <w:vAlign w:val="bottom"/>
          </w:tcPr>
          <w:p>
            <w:pPr>
              <w:spacing w:after="0"/>
              <w:rPr>
                <w:sz w:val="17"/>
                <w:szCs w:val="17"/>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9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reversal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made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 incurred</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30"/>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Payments made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Bioventus Inc. is the sole managing member of BV LLC, which is treated as a partnership for income tax purposes. As a partnership, BV LLC is not subject to United States federal and certain state and local income taxes. Any taxable income or loss generated by BV LLC is passed through to and included in the taxable income or loss of its members, including the Company, on a pro rata basis. The components of income (loss) before income taxes for the years ended December 31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7"/>
              </w:rPr>
              <w:t>(62,664)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(125,676)</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rPr>
              <w:t>10,322</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48"/>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taxes—continuing operations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7"/>
              </w:rPr>
              <w:t>(52,342)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on operations consists of the following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880" w:type="dxa"/>
            <w:vAlign w:val="bottom"/>
            <w:tcBorders>
              <w:bottom w:val="single" w:sz="8" w:color="CCEEFF"/>
            </w:tcBorders>
          </w:tcPr>
          <w:p>
            <w:pPr>
              <w:spacing w:after="0"/>
              <w:rPr>
                <w:sz w:val="3"/>
                <w:szCs w:val="3"/>
                <w:color w:val="auto"/>
              </w:rPr>
            </w:pPr>
          </w:p>
        </w:tc>
        <w:tc>
          <w:tcPr>
            <w:tcW w:w="18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 federal</w:t>
            </w:r>
          </w:p>
        </w:tc>
        <w:tc>
          <w:tcPr>
            <w:tcW w:w="27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States state and local</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57"/>
        </w:trPr>
        <w:tc>
          <w:tcPr>
            <w:tcW w:w="48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 federal</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States state and local</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29"/>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8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expense—continuing operations</w:t>
            </w:r>
          </w:p>
        </w:tc>
        <w:tc>
          <w:tcPr>
            <w:tcW w:w="188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taxes paid, net of refunds received, consisted of the following for the 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80" w:type="dxa"/>
            <w:vAlign w:val="bottom"/>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8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California</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Illinois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Michigan</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Tennessee</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Texas</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Netherlands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for income taxes</w:t>
            </w:r>
          </w:p>
        </w:tc>
        <w:tc>
          <w:tcPr>
            <w:tcW w:w="1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919"/>
              <w:spacing w:after="0"/>
              <w:rPr>
                <w:sz w:val="20"/>
                <w:szCs w:val="20"/>
                <w:color w:val="auto"/>
              </w:rPr>
            </w:pPr>
            <w:r>
              <w:rPr>
                <w:rFonts w:ascii="Times New Roman" w:cs="Times New Roman" w:eastAsia="Times New Roman" w:hAnsi="Times New Roman"/>
                <w:sz w:val="18"/>
                <w:szCs w:val="18"/>
                <w:color w:val="auto"/>
              </w:rPr>
              <w:t>117</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differences between the effective income tax rate and the federal statutory income tax rates for the years ended December 31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3"/>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federal corporate income tax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176"/>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39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federal income tax</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Israel</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of deferred tax liabilities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Netherlands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 of deferred tax liabilities</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Advanced Rehabilitation sale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3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Return to provision</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income inclusions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credits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Tax Credit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LLC flow through structure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Advanced Rehabilitation sale</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Meals &amp; entertainment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175"/>
        </w:trPr>
        <w:tc>
          <w:tcPr>
            <w:tcW w:w="39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(windfall) shortfall</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of deferred tax liabilities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3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Return to provision</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29" w:lineRule="auto"/>
        <w:tabs>
          <w:tab w:leader="none" w:pos="655"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years ended December 31, 2025 and 2024, state taxes in Tennessee made up the majority of the tax effect in this category. During the year ended December 31, 2023, state taxes in Tennessee and Pennsylvania made up the majority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financial statement and tax bases using enacted tax rates in effect for the year in which the differences are expected to reverse. The components of the deferred taxes were as follows for the years ended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in Bioventus LLC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56,620</w:t>
            </w: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considered many factors when assessing the likelihood of future realization of these deferred tax assets, including expectations of future taxable income or loss, the carryforward periods available to the Company for tax reporting purposes, and other relevant factors. The net change in the valuation allowance was $4,296. The valuation allowance at December 31, 2025 and 2024 primarily relates to U.S. federal net operating loss (“NOL”) carryforwards, interest carryover and capital loss carryforward.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approximately $35,746 in NOL carryforwards and $2,259 in federal tax credits. Under the Tax Cuts and Jobs Act, the U.S. federal NOL carryforwards can be carried forward indefinitely, and can only be used to offset up to 80% of taxable income in any given year. The federal tax credits expire at various dates beginning in 2040.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held approximately $463 in gross foreign NOL carryforwards, primarily associated with Bioventus Canada ULC, which can be carried forward for up to 20 years. As of December 31, 2025, the Company had approximately $46,594 in state NOL carryforwards and $354 in state tax credits.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its tax positions and had unrecognized tax benefits of $920 and $3,735 as of December 31, 2025 and 2024, respectively. The Company had $129 and $1,508 accrued for payment of interest and penalties as of December 31, 2025 and 2024, respectively. If the $920 of unrecognized tax benefit is recognized, it would not impact the effective tax rate due to the valuation allowance on the Company's net U.S. deferred tax assets. The Company expects a decrease of approximately $221 in the twelve months following December 31, 2025 in its uncertain tax positions due to various statute expirations during 2026.</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United States and foreign jurisdictions. In general, tax years 2022 through 2025 remain open to examination by the major jurisdictions in which the Company is subject to tax.</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gross unrecognized tax benefits (excluding interest and penalties)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4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4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statutes</w:t>
            </w:r>
          </w:p>
        </w:tc>
        <w:tc>
          <w:tcPr>
            <w:tcW w:w="4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w:t>
            </w:r>
          </w:p>
        </w:tc>
        <w:tc>
          <w:tcPr>
            <w:tcW w:w="410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100" w:type="dxa"/>
            <w:vAlign w:val="bottom"/>
            <w:vMerge w:val="restart"/>
          </w:tcPr>
          <w:p>
            <w:pPr>
              <w:jc w:val="right"/>
              <w:ind w:right="2439"/>
              <w:spacing w:after="0"/>
              <w:rPr>
                <w:sz w:val="20"/>
                <w:szCs w:val="20"/>
                <w:color w:val="auto"/>
              </w:rPr>
            </w:pPr>
            <w:r>
              <w:rPr>
                <w:rFonts w:ascii="Times New Roman" w:cs="Times New Roman" w:eastAsia="Times New Roman" w:hAnsi="Times New Roman"/>
                <w:sz w:val="18"/>
                <w:szCs w:val="18"/>
                <w:color w:val="auto"/>
              </w:rPr>
              <w:t>119</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the Company making payments under the TRA.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maintain a full valuation allowance against deferred tax assets related to the tax attributes generated as a result of redemptions of LLC Interests or exchanges described above until it is determined that the benefits are more-likely-than-not to be realized. As of December 31, 2025, the Continuing LLC Owner had not exchanged LLC Interests for shares of Class A common stock and therefore the Company had not recorded any liabilities under the TRA.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leases its office facilities as well as other property, vehicles and equipment under operating leases. The Company also leases certain office equipment under nominal finance leases. The remaining lease terms range from one month to 7.3 years. Lease assets represent the Company’s right to use an underlying asset for the lease term, and lease liabilities represent the obligation to make lease payments arising from the lease. Lease assets and liabilities are recognized at commencement date based on the present value of lease payments over the lease term. As the Company’s leases do not provide an implicit rate, the Company’s incremental borrowing rate is used as a discount rate, based on the information available at the commencement date, in determining the present value of lease payments. Lease assets also include the impact of any prepayments made and are reduced by impact of any lease incentives.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recognize lease liabilities or lease assets on the balance sheet for short-term leases (with a lease term of twelve months or fewer as of the commencement date). Rather, any short-term lease payments are recognized as an expense on a straight-line basis over the lease term. The current period short-term lease expense reasonably reflects short-term lease commitments.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classifications of leases, the Company combines lease and nonlease components in order to record the combination as a single lease component. Variable lease payments are excluded from the lease liability and are recognized in the period in which the obligation is incurred. Additionally, lease terms may include options to extend or terminate the lease when it is reasonably certain that the Company will exercise the option.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7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(a)</w:t>
            </w: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variable lease cost and sublease income, which are immaterial.</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3"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leases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7"/>
        </w:trPr>
        <w:tc>
          <w:tcPr>
            <w:tcW w:w="6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4"/>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and other information related to operating leases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8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assets</w:t>
            </w:r>
            <w:r>
              <w:rPr>
                <w:rFonts w:ascii="Times New Roman" w:cs="Times New Roman" w:eastAsia="Times New Roman" w:hAnsi="Times New Roman"/>
                <w:sz w:val="23"/>
                <w:szCs w:val="23"/>
                <w:color w:val="auto"/>
                <w:vertAlign w:val="superscript"/>
              </w:rPr>
              <w:t>(a)</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other current liabilities</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other long-term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6,940</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11,221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12,703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 other current liabilities</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other long-term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9,571</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10,386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69" w:lineRule="exact"/>
        <w:rPr>
          <w:sz w:val="20"/>
          <w:szCs w:val="20"/>
          <w:color w:val="auto"/>
        </w:rPr>
      </w:pPr>
    </w:p>
    <w:p>
      <w:pPr>
        <w:ind w:left="660" w:hanging="328"/>
        <w:spacing w:after="0" w:line="230" w:lineRule="auto"/>
        <w:tabs>
          <w:tab w:leader="none" w:pos="74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As previously discussed in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the Company incurred an impairment of right-of-use assets totaling $2,456 during the year ended December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operating and finance lease liabilities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2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and Legal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periodically becomes involved in various claims and lawsuits, and governmental proceedings and investigations that are incidental to its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United States and in other jurisdictions in which the Company and its affiliates operate. As a result, interaction with governmental agencies is ongoing. The Company’s standard practice is to cooperate with regulators and investigators in responding to inquiries.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presently unable to predict the duration, scope, or result of these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is not within the Company’s complete control and might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12, 2023, the Company and certain of its current and former directors and officers were named as defendants in a putative class action lawsuit filed in the Middle District of North Carolina (the “Court”), </w:t>
      </w:r>
      <w:r>
        <w:rPr>
          <w:rFonts w:ascii="Times New Roman" w:cs="Times New Roman" w:eastAsia="Times New Roman" w:hAnsi="Times New Roman"/>
          <w:sz w:val="18"/>
          <w:szCs w:val="18"/>
          <w:i w:val="1"/>
          <w:iCs w:val="1"/>
          <w:color w:val="auto"/>
        </w:rPr>
        <w:t>Ciarciello v. Bioventus Inc.</w:t>
      </w:r>
      <w:r>
        <w:rPr>
          <w:rFonts w:ascii="Times New Roman" w:cs="Times New Roman" w:eastAsia="Times New Roman" w:hAnsi="Times New Roman"/>
          <w:sz w:val="18"/>
          <w:szCs w:val="18"/>
          <w:color w:val="auto"/>
        </w:rPr>
        <w:t>,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$15,250, together with interest earned thereon, has been paid by the defendants and/or the defendant’s insurers. The Company incurred $51 and $13,802 of net shareholder litigation costs (including estimated settlement and reimbursement) during the years ended December 31, 2025 and 2024, respectively, under the Settlement Agreement, which were recorded in selling, general and administrative expense within the consolidated statements of operations and comprehensive income (loss).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certain of the Company’s current and former directors and officers were named as defendants in a derivative shareholder lawsuit (in which the Company is a nominal defendant) filed in the United States District Court for the District of Delaware, </w:t>
      </w:r>
      <w:r>
        <w:rPr>
          <w:rFonts w:ascii="Times New Roman" w:cs="Times New Roman" w:eastAsia="Times New Roman" w:hAnsi="Times New Roman"/>
          <w:sz w:val="18"/>
          <w:szCs w:val="18"/>
          <w:i w:val="1"/>
          <w:iCs w:val="1"/>
          <w:color w:val="auto"/>
        </w:rPr>
        <w:t>Grogan, on behalf of Bioventus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Reali, et al.</w:t>
      </w:r>
      <w:r>
        <w:rPr>
          <w:rFonts w:ascii="Times New Roman" w:cs="Times New Roman" w:eastAsia="Times New Roman" w:hAnsi="Times New Roman"/>
          <w:sz w:val="18"/>
          <w:szCs w:val="18"/>
          <w:color w:val="auto"/>
        </w:rPr>
        <w:t>, No. 1:23-CV-01099-RGA (D. Del.). The complaint asserts violations of Section 14(a) of the Exchange Act, breaches of fiduciary duties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January 12, 2024, the Court agreed to stay this case pending resolution of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9, 2024, another plaintiff filed a derivative shareholder lawsuit against certain of the Company’s current and former directors and officers (in which the Company is a nominal defendant) in the United States District Court for the District of Delaware, </w:t>
      </w:r>
      <w:r>
        <w:rPr>
          <w:rFonts w:ascii="Times New Roman" w:cs="Times New Roman" w:eastAsia="Times New Roman" w:hAnsi="Times New Roman"/>
          <w:sz w:val="18"/>
          <w:szCs w:val="18"/>
          <w:i w:val="1"/>
          <w:iCs w:val="1"/>
          <w:color w:val="auto"/>
        </w:rPr>
        <w:t>Sanderson, on behalf of Bioventus Inc.</w:t>
      </w:r>
      <w:r>
        <w:rPr>
          <w:rFonts w:ascii="Times New Roman" w:cs="Times New Roman" w:eastAsia="Times New Roman" w:hAnsi="Times New Roman"/>
          <w:sz w:val="18"/>
          <w:szCs w:val="18"/>
          <w:color w:val="auto"/>
        </w:rPr>
        <w:t xml:space="preserve">, v. Reali, et al., No. 1:24-cv-00180-RGA (D. Del.). Like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this case asserts violations of Section 10(b) of the Exchange Act, breaches of fiduciary duties and related state law claims, and a claim for contribution,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May 1, 2024, the parties filed a stipulation to consolidate the </w:t>
      </w:r>
      <w:r>
        <w:rPr>
          <w:rFonts w:ascii="Times New Roman" w:cs="Times New Roman" w:eastAsia="Times New Roman" w:hAnsi="Times New Roman"/>
          <w:sz w:val="18"/>
          <w:szCs w:val="18"/>
          <w:i w:val="1"/>
          <w:iCs w:val="1"/>
          <w:color w:val="auto"/>
        </w:rPr>
        <w:t>Sanderson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derivative matters and stay them on terms similar to those entered in the </w:t>
      </w:r>
      <w:r>
        <w:rPr>
          <w:rFonts w:ascii="Times New Roman" w:cs="Times New Roman" w:eastAsia="Times New Roman" w:hAnsi="Times New Roman"/>
          <w:sz w:val="18"/>
          <w:szCs w:val="18"/>
          <w:i w:val="1"/>
          <w:iCs w:val="1"/>
          <w:color w:val="auto"/>
        </w:rPr>
        <w:t>Grogan</w:t>
      </w:r>
      <w:r>
        <w:rPr>
          <w:rFonts w:ascii="Times New Roman" w:cs="Times New Roman" w:eastAsia="Times New Roman" w:hAnsi="Times New Roman"/>
          <w:sz w:val="18"/>
          <w:szCs w:val="18"/>
          <w:color w:val="auto"/>
        </w:rPr>
        <w:t xml:space="preserve"> case. On May 2, 2024, the Court granted the stipulation and ordered the consolidation of the Sanderson and Grogan cases, captioned </w:t>
      </w:r>
      <w:r>
        <w:rPr>
          <w:rFonts w:ascii="Times New Roman" w:cs="Times New Roman" w:eastAsia="Times New Roman" w:hAnsi="Times New Roman"/>
          <w:sz w:val="18"/>
          <w:szCs w:val="18"/>
          <w:i w:val="1"/>
          <w:iCs w:val="1"/>
          <w:color w:val="auto"/>
        </w:rPr>
        <w:t>In re Bioventus Inc. Derivative Litigation</w:t>
      </w:r>
      <w:r>
        <w:rPr>
          <w:rFonts w:ascii="Times New Roman" w:cs="Times New Roman" w:eastAsia="Times New Roman" w:hAnsi="Times New Roman"/>
          <w:sz w:val="18"/>
          <w:szCs w:val="18"/>
          <w:color w:val="auto"/>
        </w:rPr>
        <w:t>, No.: 1:23-cv-01099-RGA (D. Del.). The Court also stayed the consolidated case. Following resolution of the</w:t>
      </w:r>
      <w:r>
        <w:rPr>
          <w:rFonts w:ascii="Times New Roman" w:cs="Times New Roman" w:eastAsia="Times New Roman" w:hAnsi="Times New Roman"/>
          <w:sz w:val="18"/>
          <w:szCs w:val="18"/>
          <w:i w:val="1"/>
          <w:iCs w:val="1"/>
          <w:color w:val="auto"/>
        </w:rPr>
        <w:t xml:space="preserve"> Ciarciello </w:t>
      </w:r>
      <w:r>
        <w:rPr>
          <w:rFonts w:ascii="Times New Roman" w:cs="Times New Roman" w:eastAsia="Times New Roman" w:hAnsi="Times New Roman"/>
          <w:sz w:val="18"/>
          <w:szCs w:val="18"/>
          <w:color w:val="auto"/>
        </w:rPr>
        <w:t>case, on December 30, 2024, the plaintiffs in the consolidated case filed an amended complaint asserting the same claims as in the</w:t>
      </w:r>
      <w:r>
        <w:rPr>
          <w:rFonts w:ascii="Times New Roman" w:cs="Times New Roman" w:eastAsia="Times New Roman" w:hAnsi="Times New Roman"/>
          <w:sz w:val="18"/>
          <w:szCs w:val="18"/>
          <w:i w:val="1"/>
          <w:iCs w:val="1"/>
          <w:color w:val="auto"/>
        </w:rPr>
        <w:t xml:space="preserve"> Grogan </w:t>
      </w:r>
      <w:r>
        <w:rPr>
          <w:rFonts w:ascii="Times New Roman" w:cs="Times New Roman" w:eastAsia="Times New Roman" w:hAnsi="Times New Roman"/>
          <w:sz w:val="18"/>
          <w:szCs w:val="18"/>
          <w:color w:val="auto"/>
        </w:rPr>
        <w:t>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and February 3, 2026,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July 31, 2024, another plaintiff filed a derivative complaint against certain of the Company’s current and former officers and directors, (in which the Company is a nominal defendant), in the United States District Court for the Middle District of North Carolina, captioned </w:t>
      </w:r>
      <w:r>
        <w:rPr>
          <w:rFonts w:ascii="Times New Roman" w:cs="Times New Roman" w:eastAsia="Times New Roman" w:hAnsi="Times New Roman"/>
          <w:sz w:val="18"/>
          <w:szCs w:val="18"/>
          <w:i w:val="1"/>
          <w:iCs w:val="1"/>
          <w:color w:val="auto"/>
        </w:rPr>
        <w:t>Vince, on behalf of Bioventus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Reali et. al.</w:t>
      </w:r>
      <w:r>
        <w:rPr>
          <w:rFonts w:ascii="Times New Roman" w:cs="Times New Roman" w:eastAsia="Times New Roman" w:hAnsi="Times New Roman"/>
          <w:sz w:val="18"/>
          <w:szCs w:val="18"/>
          <w:color w:val="auto"/>
        </w:rPr>
        <w:t>, No. 1:24-cv-00639-CCE-JEP (M.D.N.C.). Like the</w:t>
      </w:r>
      <w:r>
        <w:rPr>
          <w:rFonts w:ascii="Times New Roman" w:cs="Times New Roman" w:eastAsia="Times New Roman" w:hAnsi="Times New Roman"/>
          <w:sz w:val="18"/>
          <w:szCs w:val="18"/>
          <w:i w:val="1"/>
          <w:iCs w:val="1"/>
          <w:color w:val="auto"/>
        </w:rPr>
        <w:t xml:space="preserve"> Grogan </w:t>
      </w:r>
      <w:r>
        <w:rPr>
          <w:rFonts w:ascii="Times New Roman" w:cs="Times New Roman" w:eastAsia="Times New Roman" w:hAnsi="Times New Roman"/>
          <w:sz w:val="18"/>
          <w:szCs w:val="18"/>
          <w:color w:val="auto"/>
        </w:rPr>
        <w:t>case,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case asserts violations of Section 14(a) of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breaches of fiduciary duties, unjust enrichment, contribution, and waste and generally alleges the same purported misconduct as alleged in the in the </w:t>
      </w:r>
      <w:r>
        <w:rPr>
          <w:rFonts w:ascii="Times New Roman" w:cs="Times New Roman" w:eastAsia="Times New Roman" w:hAnsi="Times New Roman"/>
          <w:sz w:val="18"/>
          <w:szCs w:val="18"/>
          <w:i w:val="1"/>
          <w:iCs w:val="1"/>
          <w:color w:val="auto"/>
        </w:rPr>
        <w:t xml:space="preserve">Ciarciello </w:t>
      </w:r>
      <w:r>
        <w:rPr>
          <w:rFonts w:ascii="Times New Roman" w:cs="Times New Roman" w:eastAsia="Times New Roman" w:hAnsi="Times New Roman"/>
          <w:sz w:val="18"/>
          <w:szCs w:val="18"/>
          <w:color w:val="auto"/>
        </w:rPr>
        <w:t>case. On November 11, 2024, the defendants filed a motion to transfer the</w:t>
      </w:r>
      <w:r>
        <w:rPr>
          <w:rFonts w:ascii="Times New Roman" w:cs="Times New Roman" w:eastAsia="Times New Roman" w:hAnsi="Times New Roman"/>
          <w:sz w:val="18"/>
          <w:szCs w:val="18"/>
          <w:i w:val="1"/>
          <w:iCs w:val="1"/>
          <w:color w:val="auto"/>
        </w:rPr>
        <w:t xml:space="preserve"> Vince </w:t>
      </w:r>
      <w:r>
        <w:rPr>
          <w:rFonts w:ascii="Times New Roman" w:cs="Times New Roman" w:eastAsia="Times New Roman" w:hAnsi="Times New Roman"/>
          <w:sz w:val="18"/>
          <w:szCs w:val="18"/>
          <w:color w:val="auto"/>
        </w:rPr>
        <w:t>case to the United States District Court for the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Delaware, pursuant to the forum selection clause in Bioventus’s certificate of incorporation. On January 14, 2025, the Court granted the motion and transferred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to the District of Delaware. On February 14, 2025, the plaintiff requested voluntary dismissal of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February 20, 2025, plaintiff Vince refiled a derivative complaint against certain of Bioventus’ current and former officers and directors, (in which the Company is a nominal defendant), in the Delaware Chancery Court, captioned </w:t>
      </w:r>
      <w:r>
        <w:rPr>
          <w:rFonts w:ascii="Times New Roman" w:cs="Times New Roman" w:eastAsia="Times New Roman" w:hAnsi="Times New Roman"/>
          <w:sz w:val="18"/>
          <w:szCs w:val="18"/>
          <w:i w:val="1"/>
          <w:iCs w:val="1"/>
          <w:color w:val="auto"/>
        </w:rPr>
        <w:t>Vince, on behalf of Bioventus Inc. v. Reali et al.</w:t>
      </w:r>
      <w:r>
        <w:rPr>
          <w:rFonts w:ascii="Times New Roman" w:cs="Times New Roman" w:eastAsia="Times New Roman" w:hAnsi="Times New Roman"/>
          <w:sz w:val="18"/>
          <w:szCs w:val="18"/>
          <w:color w:val="auto"/>
        </w:rPr>
        <w:t xml:space="preserve">, No. 2025-0192-LWW (Del. Ch.). Like the prior complaint, which he voluntarily dismissed,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On March 24, 2025, the defendants filed a motion to dismiss the complaint, or in the alternative, to stay the case.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another plaintiff filed a derivative complaint against certain of Bioventus’s current and former officers and directors, (in which the Company is a nominal defendant), in the Delaware Court of Chancery, captioned </w:t>
      </w:r>
      <w:r>
        <w:rPr>
          <w:rFonts w:ascii="Times New Roman" w:cs="Times New Roman" w:eastAsia="Times New Roman" w:hAnsi="Times New Roman"/>
          <w:sz w:val="18"/>
          <w:szCs w:val="18"/>
          <w:i w:val="1"/>
          <w:iCs w:val="1"/>
          <w:color w:val="auto"/>
        </w:rPr>
        <w:t>Bouchereau, on behalf of Bioventus Inc. v. Reali et al.</w:t>
      </w:r>
      <w:r>
        <w:rPr>
          <w:rFonts w:ascii="Times New Roman" w:cs="Times New Roman" w:eastAsia="Times New Roman" w:hAnsi="Times New Roman"/>
          <w:sz w:val="18"/>
          <w:szCs w:val="18"/>
          <w:color w:val="auto"/>
        </w:rPr>
        <w:t xml:space="preserve">, No. 2025-0214-BWD (Del. Ch.). The complaint is nearly identical to the </w:t>
      </w:r>
      <w:r>
        <w:rPr>
          <w:rFonts w:ascii="Times New Roman" w:cs="Times New Roman" w:eastAsia="Times New Roman" w:hAnsi="Times New Roman"/>
          <w:sz w:val="18"/>
          <w:szCs w:val="18"/>
          <w:i w:val="1"/>
          <w:iCs w:val="1"/>
          <w:color w:val="auto"/>
        </w:rPr>
        <w:t>Vince</w:t>
      </w:r>
      <w:r>
        <w:rPr>
          <w:rFonts w:ascii="Times New Roman" w:cs="Times New Roman" w:eastAsia="Times New Roman" w:hAnsi="Times New Roman"/>
          <w:sz w:val="18"/>
          <w:szCs w:val="18"/>
          <w:color w:val="auto"/>
        </w:rPr>
        <w:t xml:space="preserve"> complaint and asserts breaches of fiduciary duties, unjust enrichment, contribution, and waste, and generally alleges the same purported misconduct as alleged in the </w:t>
      </w:r>
      <w:r>
        <w:rPr>
          <w:rFonts w:ascii="Times New Roman" w:cs="Times New Roman" w:eastAsia="Times New Roman" w:hAnsi="Times New Roman"/>
          <w:sz w:val="18"/>
          <w:szCs w:val="18"/>
          <w:i w:val="1"/>
          <w:iCs w:val="1"/>
          <w:color w:val="auto"/>
        </w:rPr>
        <w:t>Ciarciello</w:t>
      </w:r>
      <w:r>
        <w:rPr>
          <w:rFonts w:ascii="Times New Roman" w:cs="Times New Roman" w:eastAsia="Times New Roman" w:hAnsi="Times New Roman"/>
          <w:sz w:val="18"/>
          <w:szCs w:val="18"/>
          <w:color w:val="auto"/>
        </w:rPr>
        <w:t xml:space="preserve"> case. The Defendants have not yet been served.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March 6, 2025, another plaintiff filed a derivative complaint against certain of Bioventus’s current and former officers and directors(in which the Company is a nominal defendant), in in the United States District Court for the Middle District of North Carolina, captioned </w:t>
      </w:r>
      <w:r>
        <w:rPr>
          <w:rFonts w:ascii="Times New Roman" w:cs="Times New Roman" w:eastAsia="Times New Roman" w:hAnsi="Times New Roman"/>
          <w:sz w:val="18"/>
          <w:szCs w:val="18"/>
          <w:i w:val="1"/>
          <w:iCs w:val="1"/>
          <w:color w:val="auto"/>
        </w:rPr>
        <w:t>Hyung v. Reali et al.</w:t>
      </w:r>
      <w:r>
        <w:rPr>
          <w:rFonts w:ascii="Times New Roman" w:cs="Times New Roman" w:eastAsia="Times New Roman" w:hAnsi="Times New Roman"/>
          <w:sz w:val="18"/>
          <w:szCs w:val="18"/>
          <w:color w:val="auto"/>
        </w:rPr>
        <w:t xml:space="preserve">, No. 1:25-cv-00177-CCE-JEP (M.D.N.C.). Like the other derivative cases,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asserts violations of Section 14(a) of the Exchange Act, contribution, breaches of fiduciary duties, aiding and abetting, gross mismanagement, waste, and generally alleges the same purported misconduct as alleged in the </w:t>
      </w:r>
      <w:r>
        <w:rPr>
          <w:rFonts w:ascii="Times New Roman" w:cs="Times New Roman" w:eastAsia="Times New Roman" w:hAnsi="Times New Roman"/>
          <w:sz w:val="18"/>
          <w:szCs w:val="18"/>
          <w:i w:val="1"/>
          <w:iCs w:val="1"/>
          <w:color w:val="auto"/>
        </w:rPr>
        <w:t xml:space="preserve">Ciarciello </w:t>
      </w:r>
      <w:r>
        <w:rPr>
          <w:rFonts w:ascii="Times New Roman" w:cs="Times New Roman" w:eastAsia="Times New Roman" w:hAnsi="Times New Roman"/>
          <w:sz w:val="18"/>
          <w:szCs w:val="18"/>
          <w:color w:val="auto"/>
        </w:rPr>
        <w:t>case. On May 13, 2025, the defendants filed a motion to transfer the</w:t>
      </w:r>
      <w:r>
        <w:rPr>
          <w:rFonts w:ascii="Times New Roman" w:cs="Times New Roman" w:eastAsia="Times New Roman" w:hAnsi="Times New Roman"/>
          <w:sz w:val="18"/>
          <w:szCs w:val="18"/>
          <w:i w:val="1"/>
          <w:iCs w:val="1"/>
          <w:color w:val="auto"/>
        </w:rPr>
        <w:t xml:space="preserve"> Hyung </w:t>
      </w:r>
      <w:r>
        <w:rPr>
          <w:rFonts w:ascii="Times New Roman" w:cs="Times New Roman" w:eastAsia="Times New Roman" w:hAnsi="Times New Roman"/>
          <w:sz w:val="18"/>
          <w:szCs w:val="18"/>
          <w:color w:val="auto"/>
        </w:rPr>
        <w:t>case to the United States District Court for the District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the forum selection clause in Bioventus’s certificate of incorporation, or in the alternative, to dismiss the case. On July 1, 2025, the Court granted the motion to transfer and transferred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w:t>
      </w:r>
      <w:r>
        <w:rPr>
          <w:rFonts w:ascii="Times New Roman" w:cs="Times New Roman" w:eastAsia="Times New Roman" w:hAnsi="Times New Roman"/>
          <w:sz w:val="18"/>
          <w:szCs w:val="18"/>
          <w:i w:val="1"/>
          <w:iCs w:val="1"/>
          <w:color w:val="auto"/>
        </w:rPr>
        <w:t>Hyung v. Reali, et. al</w:t>
      </w:r>
      <w:r>
        <w:rPr>
          <w:rFonts w:ascii="Times New Roman" w:cs="Times New Roman" w:eastAsia="Times New Roman" w:hAnsi="Times New Roman"/>
          <w:sz w:val="18"/>
          <w:szCs w:val="18"/>
          <w:color w:val="auto"/>
        </w:rPr>
        <w:t xml:space="preserve">., No. 1:25-cv-00806-RGA (D. Del.). The defendants filed a motion to dismiss the </w:t>
      </w:r>
      <w:r>
        <w:rPr>
          <w:rFonts w:ascii="Times New Roman" w:cs="Times New Roman" w:eastAsia="Times New Roman" w:hAnsi="Times New Roman"/>
          <w:sz w:val="18"/>
          <w:szCs w:val="18"/>
          <w:i w:val="1"/>
          <w:iCs w:val="1"/>
          <w:color w:val="auto"/>
        </w:rPr>
        <w:t>Hyung</w:t>
      </w:r>
      <w:r>
        <w:rPr>
          <w:rFonts w:ascii="Times New Roman" w:cs="Times New Roman" w:eastAsia="Times New Roman" w:hAnsi="Times New Roman"/>
          <w:sz w:val="18"/>
          <w:szCs w:val="18"/>
          <w:color w:val="auto"/>
        </w:rPr>
        <w:t xml:space="preserve"> case on October 10, 2025.The motion to dismiss has been fully briefed and the parties are now awaiting the Court’s decision.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10, 2021, the Company entered into an asset purchase agreement for an HA product and made an upfront payment of $853. An additional payment of $853 was made in 2022 upon the transfer of certain seller customer data. If the Company is able to obtain a Medical Device Regulation Certification (“MDR Certification”) for the product, $1,707 (the “Milestone Payment”) will be paid to the seller within five days. On March 8, 2023, the parties amended the agreement under which the Milestone Payment was reduced to $1,418, of which $709 was recorded as an intellectual property intangible asset during 2023 and was paid on January 31, 2024. The remainder was due upon receipt of the MDR Certification for the product provided that it was obtained prior to December 31, 2024, which was not achieved. The asset purchase agreement was further amended in 2024 acknowledging the expectation that the MDR Certification would not be obtained. Pursuant to the amendment in 2024, the MDR Certification achievement criteria under the asset purchase agreement was extended for two years.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2016, the Company entered into an amended and restated license agreement for the exclusive U.S. distribution and commercialization rights of a single injection osteoarthritis (“OA”) product with the supplier of the Company’s single injection OA product for the non-U.S. market. The agreement requires the Company to meet annual minimum purchase requirements and pay royalties on net sales. Royalties related to this agreement during the years ended December 31, 2025, 2024 and 2023 totaled $19,039, $18,764 and $14,035, respectively. These royalties are included in cost of sales within the consolidated statements of operations and comprehensive income (loss).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a supply agreement entered on February 9, 2016 and subsequently amended for the Company’s three-injection OA product, the Company is subject to annual minimum purchase requirements for 10 years. After the initial 10 years, the agreement will automatically renew for an additional 5 years unless terminated by the Company or the seller in accordance with the agreement.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supply agreement for the Company’s five-injection OA product that was amended and restated on December 22, 2020, the Company is subject to annual minimum purchase requirements for 8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causes letters of credit (“LOCs”) to be issued to provide credit support for guarantees, contractual commitments and insurance policies. The fair values of the LOCs reflect the amount of the underlying obligation and are subject to fees payable to the issuers, competitively determined in the marketplace. As of December 31, 2025 and December 31, 2024 the Company had three LOCs outstanding for approximately $2,200.</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$250 per member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Revenue Recognition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attributes net sales to external customers to the U.S. and to all foreign countries based on the legal entity from which the sale originated.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further information regarding revenue recognition. The Company had product sales to one customer totaling $64,521 and $59,742, primarily in the U.S. reporting segment representing 11.4% and 10.4% of total net sales during the years ended December 31, 2025 and 2024, respectively. There were no customers representing 10% or more of net sales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major products within each segment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7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248,237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234,936</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197,954</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141,888</w:t>
            </w:r>
          </w:p>
        </w:tc>
      </w:tr>
      <w:tr>
        <w:trPr>
          <w:trHeight w:val="229"/>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110,018</w:t>
            </w:r>
          </w:p>
        </w:tc>
      </w:tr>
      <w:tr>
        <w:trPr>
          <w:trHeight w:val="22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449,860</w:t>
            </w:r>
          </w:p>
        </w:tc>
      </w:tr>
      <w:tr>
        <w:trPr>
          <w:trHeight w:val="250"/>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7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w:t>
            </w:r>
          </w:p>
        </w:tc>
      </w:tr>
      <w:tr>
        <w:trPr>
          <w:trHeight w:val="22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62,485</w:t>
            </w: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two reportable segments: U.S. and International. These segments align with the Company’s operating structure and are based on the geographic markets in which the Company sells its products. Both segments sell the Company’s portfolio of products to healthcare institutions, physicians, patients, distributors and dealers.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 (ii) its operating results are regularly reviewed by the CODM and (iii) it has available discrete financial information. The Company’s CODM is its President and Chief Executive Officer, who uses segment Adjusted EBITDA to make decisions regarding the allocation of resources, assess performance and to develop annual budgets and forecasts. The Company does not disclose segment information by asset, as the CODM does not review or use such information to allocate resources or to assess the operating results and financial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EBITDA reconciled to income (loss) before income taxes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expense</w:t>
            </w:r>
            <w:r>
              <w:rPr>
                <w:rFonts w:ascii="Times New Roman" w:cs="Times New Roman" w:eastAsia="Times New Roman" w:hAnsi="Times New Roman"/>
                <w:sz w:val="23"/>
                <w:szCs w:val="23"/>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(47,011)</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118,985</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(49,555)</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related costs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Impairments of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23"/>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(52,342)</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109,889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(57,365)</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related costs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succession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60" w:hanging="328"/>
        <w:spacing w:after="0"/>
        <w:tabs>
          <w:tab w:leader="none" w:pos="660" w:val="left"/>
        </w:tabs>
        <w:numPr>
          <w:ilvl w:val="1"/>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cost of sales used in calculating segment Adjusted EBITDA excludes depreciation and amortization.</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33" w:lineRule="auto"/>
        <w:tabs>
          <w:tab w:leader="none" w:pos="648" w:val="left"/>
        </w:tabs>
        <w:numPr>
          <w:ilvl w:val="1"/>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selling, general and administrative expense used in the calculation of segment Adjusted EBITDA excludes certain acquisition and related costs, shareholder litigation costs, certain restructuring and succession charges, asset impairments, debt refinancing, equity-based compensation expense and other segment items—charges associated with strategic transactions, such as potential divestitures and a transformative project to redesign systems and information processing.</w:t>
      </w:r>
    </w:p>
    <w:p>
      <w:pPr>
        <w:spacing w:after="0" w:line="38"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1"/>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research and development expense used in calculating segment Adjusted EBITDA excludes depreciation and amortization, equity-based compensation expense.</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1"/>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other segment expense (income) primarily consists of foreign currency transaction and remeasurement gains and losses and other certain nonrecurring items.</w:t>
      </w:r>
    </w:p>
    <w:p>
      <w:pPr>
        <w:spacing w:after="0" w:line="36"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55" w:val="left"/>
        </w:tabs>
        <w:numPr>
          <w:ilvl w:val="1"/>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2025, other items primarily consisted of expenses related to the divestiture of the Advanced Rehabilitation Business, which was completed on December 31, 2024.</w:t>
      </w:r>
    </w:p>
    <w:p>
      <w:pPr>
        <w:spacing w:after="0" w:line="36" w:lineRule="exact"/>
        <w:rPr>
          <w:rFonts w:ascii="Times New Roman" w:cs="Times New Roman" w:eastAsia="Times New Roman" w:hAnsi="Times New Roman"/>
          <w:sz w:val="23"/>
          <w:szCs w:val="23"/>
          <w:color w:val="auto"/>
          <w:vertAlign w:val="superscript"/>
        </w:rPr>
      </w:pPr>
    </w:p>
    <w:p>
      <w:pPr>
        <w:ind w:left="660" w:right="20"/>
        <w:spacing w:after="0" w:line="28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2024, other items primarily consisted of divestiture costs related to the Advanced Rehabilitation Business, strategic transaction costs and transformative project costs.</w:t>
      </w:r>
    </w:p>
    <w:p>
      <w:pPr>
        <w:spacing w:after="0" w:line="1" w:lineRule="exact"/>
        <w:rPr>
          <w:rFonts w:ascii="Times New Roman" w:cs="Times New Roman" w:eastAsia="Times New Roman" w:hAnsi="Times New Roman"/>
          <w:sz w:val="23"/>
          <w:szCs w:val="23"/>
          <w:color w:val="auto"/>
          <w:vertAlign w:val="superscript"/>
        </w:rPr>
      </w:pPr>
    </w:p>
    <w:p>
      <w:pPr>
        <w:ind w:left="66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2023, other items mostly consisted of strategic transaction costs, transformative project costs, transition and severance costs and expenses related to the discontinuance of MOTYS.</w:t>
      </w:r>
    </w:p>
    <w:p>
      <w:pPr>
        <w:spacing w:after="0" w:line="153" w:lineRule="exact"/>
        <w:rPr>
          <w:rFonts w:ascii="Times New Roman" w:cs="Times New Roman" w:eastAsia="Times New Roman" w:hAnsi="Times New Roman"/>
          <w:sz w:val="23"/>
          <w:szCs w:val="23"/>
          <w:color w:val="auto"/>
          <w:vertAlign w:val="superscript"/>
        </w:rPr>
      </w:pPr>
    </w:p>
    <w:p>
      <w:pPr>
        <w:ind w:left="300" w:hanging="292"/>
        <w:spacing w:after="0"/>
        <w:tabs>
          <w:tab w:leader="none" w:pos="3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Discontinued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CartiHeal (2009) Ltd.</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12, 2022, the Company completed the acquisition of 100% of the remaining shares in CartiHeal, a privately held company headquartered in Israel and the developer of the proprietary Agili-C implant for the treatment of joint surface lesions in traumatic and osteoarthritic joints. The Company held an equity interest in CartiHeal prior to the acquisition.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for the acquisition of CartiHeal included cash, deferred payment obligations and contingent consideration. The Company was unable to secure a financing solution to fund the deferred payment obligations on terms the Company believed to be favorable to it and its shareholders. As a result, on February 27, 2023, the Company entered into a settlement agreement (the “Settlement Agreement”) with Elron Ventures Ltd. (“Elron” and together with the Company, the “Parties”) as representative of CartiHeal’s selling securityholders (collectively, the “Former Securityholders”). Pursuant to the Settlement Agreement, Elron, on behalf of the Former Securityholders, agreed to forbear from initiating any legal action or proceedings related to the non-payment of outstanding deferred payment obligations or contingent consideration arising from the Company’s acquisition of CartiHeal in exchange for non-refundable payments totaling $10,150.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transferred 100% of its shares in CartiHeal to a trustee (the “Trustee”) for the benefit of the Former Securityholders pursuant to the Settlement Agreement. Accordingly, the Company concluded that upon execution of the Settlement Agreement, the Company ceased to control CartiHeal for accounting purposes, and therefore, deconsolidated CartiHeal effective February 27, 2023. CartiHeal was part of the Company’s International reporting segment. The Company treated the deconsolidation of CartiHeal as a discontinued operation. The loss upon disposal was $60,639 and was recorded within discontinued operations, net of tax within the consolidated statements of operations and comprehensive income (loss). The loss on disposal consists of the book value of CartiHeal’s net assets at the time of disposal, goodwill attributable to CartiHeal and the previously discussed non-refundable payments made to Elron. CartiHeal had no sales for the year ended December 31, 2023.</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income and expense line items of discontinued operations, as reported in the consolidated statements of operations for the year ended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9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contingent consideration</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96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r>
      <w:tr>
        <w:trPr>
          <w:trHeight w:val="223"/>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23"/>
        </w:trPr>
        <w:tc>
          <w:tcPr>
            <w:tcW w:w="9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29"/>
        </w:trPr>
        <w:tc>
          <w:tcPr>
            <w:tcW w:w="9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61,442</w:t>
            </w:r>
          </w:p>
        </w:tc>
      </w:tr>
      <w:tr>
        <w:trPr>
          <w:trHeight w:val="223"/>
        </w:trPr>
        <w:tc>
          <w:tcPr>
            <w:tcW w:w="9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66,331</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(74,429)</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interest—discontinued operations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Bioventus Inc.—discontinued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29" w:lineRule="auto"/>
        <w:tabs>
          <w:tab w:leader="none" w:pos="655"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the change in fair value of contingent consideration and interest expense represent the significant operating non-cash items of discontinued operations.</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expense includes the $60,639 loss on deconsolidation, of which $10,150 was attributable to non-refundable payments. Total investing cash outflows included these non-refundable payments and $1,356 cash on hand at disposal.</w:t>
      </w:r>
    </w:p>
    <w:p>
      <w:pPr>
        <w:spacing w:after="0" w:line="1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Changes in and Disagreements with Accountants on Accounting and Financial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9A.</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conducted an evaluation of the effectiveness of our disclosure controls and procedures (as defined in Rules 13a-15(e) or 15d-15(e) promulgated under the Exchange Act) as of the end of the period covered by this Annual Report on Form 10-K. Based on this evaluation, our President and Chief Executive Officer and Chief Financial Officer concluded that our disclosure controls and procedures were effective at the reasonable assurance level as of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and for its assessment of the effectiveness of internal control over financial reporting (as such term is defined in the Exchange Act Rule 13a-15(f)). The Company’s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preparation and filing of this Annual Report, the Company’s management, including our President and Chief Executive Officer and Chief Financial Officer, conducted an evaluation of the effectiveness of our internal control over financial reporting as of December 31, 2025.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this evaluation, our President and Chief Executive Officer and Chief Financial Officer concluded that we maintained effective internal control over financial reporting as of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of 2025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Independent Registered Public Accounting Firm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on our internal control over financial reporting of our registered public accounting firm due to an exemption established by the JOBS Act for emerging growth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under the Exchange Act) adopted, modified or terminated a “Rule 10b5-1 trading arrangement” or a “non-Rule 10b5-1 trading arrangement” (as such terms are defined in Item 408 of Regulation S-K).</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9C.</w:t>
      </w:r>
      <w:r>
        <w:rPr>
          <w:sz w:val="20"/>
          <w:szCs w:val="20"/>
          <w:color w:val="auto"/>
        </w:rPr>
        <w:tab/>
      </w:r>
      <w:r>
        <w:rPr>
          <w:rFonts w:ascii="Times New Roman" w:cs="Times New Roman" w:eastAsia="Times New Roman" w:hAnsi="Times New Roman"/>
          <w:sz w:val="21"/>
          <w:szCs w:val="21"/>
          <w:b w:val="1"/>
          <w:bCs w:val="1"/>
          <w:color w:val="auto"/>
        </w:rPr>
        <w:t>Disclosure Regarding Foreign Jurisdictions that Prevent Inspections.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Directors, Executive Officers and Corporate Governance.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March 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5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E. Claypoole</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A. Hawkins</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Chairperson</w:t>
            </w: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A. Bartholdson</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G. Cowdy</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Ajay Dhankhar</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Kay Ladone</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McMurry-Heath</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Guido J. Neels</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Guy P. Nohra</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6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 Stalnecker</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Robert Claypoole </w:t>
      </w:r>
      <w:r>
        <w:rPr>
          <w:rFonts w:ascii="Times New Roman" w:cs="Times New Roman" w:eastAsia="Times New Roman" w:hAnsi="Times New Roman"/>
          <w:sz w:val="18"/>
          <w:szCs w:val="18"/>
          <w:color w:val="auto"/>
        </w:rPr>
        <w:t>joined Bioventus as our President, Chief Executive Officer and a director in January 2024. Please see Mr. Claypoole’s biography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Part I, Item 1. Business—Information about our Executive Officers of this Annual Report</w:t>
      </w:r>
      <w:r>
        <w:rPr>
          <w:rFonts w:ascii="Times New Roman" w:cs="Times New Roman" w:eastAsia="Times New Roman" w:hAnsi="Times New Roman"/>
          <w:sz w:val="18"/>
          <w:szCs w:val="18"/>
          <w:color w:val="auto"/>
        </w:rPr>
        <w:t>. The Company’s Board of Directors (the “Board”) believes that Mr. Claypoole is well-qualified to serve on our Board considering the breadth of his experience across multiple global medical device markets and his extensive expertise in accelerating innovation, driving operational excellence, enhancing go-to-market strategies, and driving commercial execution and organizational effectiveness.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William A. Hawkins </w:t>
      </w:r>
      <w:r>
        <w:rPr>
          <w:rFonts w:ascii="Times New Roman" w:cs="Times New Roman" w:eastAsia="Times New Roman" w:hAnsi="Times New Roman"/>
          <w:sz w:val="18"/>
          <w:szCs w:val="18"/>
          <w:color w:val="auto"/>
        </w:rPr>
        <w:t>has served as a member of our Board since September 2020 and as Chairperson of our Board since September 2020. Mr. Hawkins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Advisor to EW Healthcare Partners, a leading private equity firm investing in life sciences. From October 2011 to July 2015, Mr. Hawkins served as President and Chief Executive Officer of Immucor, Inc., a leading provider of transfusion and transplantation diagnostic products worldwide. Prior to that, Mr. Hawkins served in positions of increasing responsibility at Medtronic, Inc., a prominent medical technology company, from January 2001 to June 2011, most recently serving as its Chief Executive Officer from November 2007 to June 2011. Mr. Hawkins served as President and Chief Executive Officer of Novoste Corporation, a global leader in the field of vascular brachytherapy, from 1988 to 2002 and has also held several senior leadership positions at American Home Products (now known as Wyeth, LLC), Johnson &amp; Johnson, Guidant Corp. and Eli Lilly and Co. Mr. Hawkins served as a member of the board of managers of BV LLC from January 2016 until the time of our IPO. Mr. Hawkins also currently serves on the board of directors of Biogen Inc. and MiMedx Group Inc., each a public biopharmaceutical company; and Baebies, Inc., Cirtec Medical Corp., Enterra Medical and Virtue Labs, LLC, each a privately-held life science company. Mr. Hawkins serves on the compensation committee and corporate governance committee of Biogen and chairs the ethics and compliance committee of MiMedx. Mr. Hawkins previously served on the Board of Directors of Avanos Medical, Inc. from 2015 to April 2021 and Immunor, Inc. from 2015 to 2021. Mr. Hawkins served on the Duke University Board of Trustees from 2011 to 2023, where he held the position of Vice Chair, and was appointed Duke University Trustee Emeritus in 2023. Mr. Hawkins also previously served as the Chair of the Duke University Health System board of directors. He is currently a member of the board of directors of the North Carolina Biotechnology Center and the Focused Ultrasound Foundation Society. Mr. Hawkins holds a Master of Business Administration from the University of Virginia Darden School of Business and received a Bachelor of Science in electrical and biomedical engineering from Duke University. Mr. Hawkins was selected to serve on our Board because of his experience in and knowledge of the life science industry.</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John A. Bartholdson </w:t>
      </w:r>
      <w:r>
        <w:rPr>
          <w:rFonts w:ascii="Times New Roman" w:cs="Times New Roman" w:eastAsia="Times New Roman" w:hAnsi="Times New Roman"/>
          <w:sz w:val="18"/>
          <w:szCs w:val="18"/>
          <w:color w:val="auto"/>
        </w:rPr>
        <w:t>has served as a member of our Board since January 8, 2023. Mr. Bartholdson is the co-founder and has been a Partner of Juniper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 private investment management firm that invests in publicly traded and private companies through concentrated ownership positions since its inception in 2007. Mr. Bartholdson has 25 years of experience leading and overseeing private and public equity investments. His experience includes extensive management oversight, service on multiple public and private company boards, and deep transactional expertise. Mr. Bartholdson presently serves as the Chairman of the board of directors of Lincoln Educational Services Corporation, a public company and a leading provider of career education and training services, and Theragenics Corporation, a private medical device company serving the surgical products and prostate cancer treatment markets. Previously, he served as a member of the board of directors of Obagi Medical Products, Inc., a public specialty pharmaceutical company, until its acquisition by Valeant Pharmaceuticals in 2013. In addition, Mr. Bartholdson has previously served on the board of directors of numerous private companies. Mr. Bartholdson was a Partner of Stonington Partners, where he worked from 1997 to 2011. Prior to that, he was an analyst at Merrill Lynch Capital Partners from 1992 to 1994. Mr. Bartholdson received his Bachelor of Arts from Duke University and his Master of Business Administration from the Stanford Graduate School of Business. Mr. Bartholdson was selected to serve on our board because of his professional investor perspective on stockholder and related matters and his significant governance, finance, capital markets and transactional experience on multiple public and private company boards.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Patrick J. Beyer </w:t>
      </w:r>
      <w:r>
        <w:rPr>
          <w:rFonts w:ascii="Times New Roman" w:cs="Times New Roman" w:eastAsia="Times New Roman" w:hAnsi="Times New Roman"/>
          <w:sz w:val="18"/>
          <w:szCs w:val="18"/>
          <w:color w:val="auto"/>
        </w:rPr>
        <w:t>has served as a member of our Board since October 2021. Mr. Beyer was appointed President and Chief Executive Officer and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directors of ConMed Corporation, a publicly held medical technology company, effective January 1, 2025. Prior to that, Mr. Beyer served as ConMed Corporation’s Chief Operation Officer from April 2024 to December 2024, and before that as its President International and Global Orthopedics from October 2020 to April 2024. He previously served as President of ConMed International from December 2014 to October 2020. Prior to joining ConMed, Mr. Beyer served as Chief Executive Officer of ICNet, a privately held infectious control software company from 2010 to 2014 when the company was sold. Prior to this, he spent 21 years at Stryker Corporation where he led Stryker Europe from 2005 to 2009; Stryker UK, South Africa and Ireland from 2002 to 2005 and Stryker Medical from 1999 to 2002. Mr. Beyer previously served on the board of directors of Misonix, Inc. from May 2021 to October 2021, where he was a member of its audit committee. Mr. Beyer graduated from Kalamazoo College with a Bachelor of Arts in Economics, Western Michigan University with a Master of Business Administration in Finance and Harvard Business School’s Advanced Management Program. Mr. Beyer was selected to serve on our Board because of his extensive experience in international healthcare markets, his service as a chief executive officer and his broad business and public company experience.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Philip G. Cowdy </w:t>
      </w:r>
      <w:r>
        <w:rPr>
          <w:rFonts w:ascii="Times New Roman" w:cs="Times New Roman" w:eastAsia="Times New Roman" w:hAnsi="Times New Roman"/>
          <w:sz w:val="18"/>
          <w:szCs w:val="18"/>
          <w:color w:val="auto"/>
        </w:rPr>
        <w:t>has served as a member of our Board since September 2020. Mr. Cowdy served as the Chief Business Development and Corporate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for Smith &amp; Nephew plc, a medical equipment manufacturing company, from 2018 until his retirement in May 2025. Since joining Smith &amp; Nephew plc in June 2008, he has also served as Executive Vice President of Business Development and Corporate Affairs, Head of Corporate Affairs and Strategic Planning, Group Director of Corporate Affairs and Director of Investor Relations. Prior to joining Smith &amp; Nephew plc, Mr. Cowdy served as a Senior Director at Deutsche Bank for 13 years, providing corporate finance and equity capital markets advice to a variety of UK-based companies. Mr. Cowdy served as a member of the board of managers of BV LLC from January 2012 to October 2017 and again from July 2018 until the time of our IPO, and has served as a member of its Audit, Compliance and Quality Committee. Mr. Cowdy received his Bachelor of Science in Natural Sciences from Durham University (UK) and is a qualified chartered accountant. Mr. Cowdy was selected to serve on our Board because of his experience in the industry, his finance experience, and his knowledge of the Company.</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Ajay Dhankhar, </w:t>
      </w:r>
      <w:r>
        <w:rPr>
          <w:rFonts w:ascii="Times New Roman" w:cs="Times New Roman" w:eastAsia="Times New Roman" w:hAnsi="Times New Roman"/>
          <w:sz w:val="18"/>
          <w:szCs w:val="18"/>
          <w:color w:val="auto"/>
        </w:rPr>
        <w:t>PhD, has served as the Chief Corporate Development &amp; Strategy Officer of Smith &amp; Nephew since June 2025. Dr. Dhankhar 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Bluish Capital in July 2024, a strategy and financial advisory firm focused on deploying growth capital to support high quality, recently FDA approved assets, and served as its Managing Partner until his appointment to Smith &amp; Nephew. From July 2022 to June 2024, Dr. Dhankhar served as a Managing Director in the Financial Advisory Healthcare Group of Lazard Ltd, where he was the Global Head of Medical Technology, Diagnostics and Tools. Prior to joining Lazard, Dr. Dhankhar held multiple leadership roles at McKinsey &amp; Company over a span of 25 years, including, most recently, Senior Partner, as well as Global Head of Strategy and M&amp;A for Life Sciences and Global Head of Life Sciences R&amp;D. Dr. Dhankhar has a B.S. in Physics and Computer Science from Angelo State University and a PhD in Molecular Biophysics and Biochemistry from Yale University.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Mary Kay Ladone </w:t>
      </w:r>
      <w:r>
        <w:rPr>
          <w:rFonts w:ascii="Times New Roman" w:cs="Times New Roman" w:eastAsia="Times New Roman" w:hAnsi="Times New Roman"/>
          <w:sz w:val="18"/>
          <w:szCs w:val="18"/>
          <w:color w:val="auto"/>
        </w:rPr>
        <w:t>has served as a member of our Board since July 2021. Ms. Ladone served as Senior Vice President, Corporate Development,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Investor Relations, of Hill-Rom Holdings, Inc. (“Hill-Rom”), a medical technology provider, from December 2018 to December 2021. Ms. Ladone previously served as Hill-Rom’s Vice President, Investor Relations, July 2016 to December 2018. Ms. Ladone served as Senior Vice President, Investor Relations, of Baxalta Inc. from 2015 to 2016 before joining Hill-Rom. Prior to Baxalta Inc., Ms. Ladone served in a variety of senior finance, business development and investor relations roles for Baxter International, Inc. Since March 2022, Ms. Ladone has also served on the board of directors of Inogen Inc., a publicly traded supplemental oxygen therapies provider, where she is a member of the audit committee and is the chair of the compensation committee. Ms. Ladone also serves on the board of directors of Kestra Medical Technologies, Inc., a publicly traded wearable medical device and digital healthcare company, where she has been the chair of the audit committee since September 2022 and a member of the nominating and corporate governance committee since March 2025, and of Novanta Inc., a publicly traded supplier of technology solutions service to medical and advanced industrial original equipment manufacturers since July 2024. Ms. Ladone holds a Bachelor of Arts in Finance and Economics from the University of Notre Dame. Ms. Ladone was selected to serve on our Board due to her significant finance and investor relations, talent management, and M&amp;A experience at large healthcare companies.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Michelle McMurry-Heath</w:t>
      </w:r>
      <w:r>
        <w:rPr>
          <w:rFonts w:ascii="Times New Roman" w:cs="Times New Roman" w:eastAsia="Times New Roman" w:hAnsi="Times New Roman"/>
          <w:sz w:val="18"/>
          <w:szCs w:val="18"/>
          <w:color w:val="auto"/>
        </w:rPr>
        <w:t>, MD, PhD, has served as a member of our Board since January 2022. Dr. McMurry-Heath served 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of the Biotechnology Innovation Organization, a membership and advocacy organization focused on improving biotech research and applying biotech innovations to major healthcare challenges, from 2020 to 2022. Dr. McMurry-Heath was previously with Johnson &amp; Johnson (“J&amp;J”) from 2014 to 2020, where she served as Global Head of Evidence Generation for Medical Device Companies and then Vice President of Global External Innovation and Global Leader for Regulatory Sciences. Prior to her time at J&amp;J, Dr. McMurry-Heath was a key science policy leader in government, conducting a comprehensive analysis of the National Science Foundation’s policies, programs and personnel. President Obama then named her associate science director of the FDA’s Center for Devices and Radiological Health where she served from 2010 to 2014. From 2005 to 2010, Dr. McMurry-Heath was Director of the Health, Biomedical Science and Society Policy Program at the Aspen Institute. Dr. McMurry-Heath began her career as a Senior Policy Advisor for Senator Joseph Lieberman for Health, Social, and Biomedical Innovation Policy from 2001 to 2004. She later served as a Robert Wood Johnson Health and Society Scholar at the University of California, San Francisco and Berkeley from 2004 to 2005 and a Macarthur Fellow, Global Health for the Council on Foreign Relations from 2004 to 2006. Dr. McMurry-Heath also serves on the Board of Directors at publicly traded Revvity Inc., the former life sciences and diagnostics business of the company previously known as PerkinElmer, where she is a member of the compensation committee and previously served on its audit committee. Dr. McMurry-Heath received her M.D./Ph.D. in Immunology from Duke University’s Medical Scientist Training Program, becoming the first African American to graduate from the prestigious program, and her AB in Biochemistry from Harvard University. Dr. McMurry-Heath was selected to serve on our Board due to her significant policy, regulatory, commercial healthcare and advocacy experience.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Guido J. Neels </w:t>
      </w:r>
      <w:r>
        <w:rPr>
          <w:rFonts w:ascii="Times New Roman" w:cs="Times New Roman" w:eastAsia="Times New Roman" w:hAnsi="Times New Roman"/>
          <w:sz w:val="17"/>
          <w:szCs w:val="17"/>
          <w:color w:val="auto"/>
        </w:rPr>
        <w:t>has served as a member of our Board since September 2020. Mr. Neels has been with EW Healthcare Partners (formerly Essex Woodlands),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healthcare growth equity and venture capital firm, since August 2006, where he has served as Operating Partner since 2013. Prior to joining EW Healthcare Partners, Mr. Neels served in a variety of management positions at Guidant Corporation, a developer of cardiovascular medical products. From July 2004 until retiring in November 2005, Mr. Neels served as Guidant’s Chief Operating Officer, where he was responsible for the global operations of Guidant’s four operating units: Cardiac Rhythm Management, Vascular Intervention, Cardiac Surgery and Endovascular Solutions. From December 2002 to July 2004, Mr. Neels served as Guidant’s Group Chairman, Office of the President, responsible for worldwide sales operations, corporate communications, corporate marketing, investor relations and government relations. In January 2000, Mr. Neels was named Guidant’s President, Europe, Middle East, Africa and Canada. In addition, Mr. Neels served as Guidant’s Vice President, Global Marketing, Vascular Intervention, from 1996 to 2000 and as Guidant’s General Manager, Germany and Central Europe, from 1994 to 1996. Mr. Neels served as a member of the board of managers of BV LLC from May 2012 until the time of our IPO. Mr. Neels currently serves on the board of directors of Axogen, Inc. and is a member of its compensation committee. Mr. Neels previously served on the board of directors of Endologix, Inc. from December 2010 to June 2019 and on the board of directors of Entellus Medical from November 2009 to February 2018, each of which is a public company. Mr. Neels holds a Master in Business Administration from the Stanford University Graduate School of Business and received his Business Engineering degree from the University of Leuven in Belgium. Mr. Neels was selected to serve on our Board because of his experience in the industry, familiarity with serving on the boards of public companies and his knowledge of our business.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Guy P. Nohra </w:t>
      </w:r>
      <w:r>
        <w:rPr>
          <w:rFonts w:ascii="Times New Roman" w:cs="Times New Roman" w:eastAsia="Times New Roman" w:hAnsi="Times New Roman"/>
          <w:sz w:val="18"/>
          <w:szCs w:val="18"/>
          <w:color w:val="auto"/>
        </w:rPr>
        <w:t>has served as a member of our Board since September 2020. In March 1996, Mr. Nohra co-founded Alta Partners, a life sciences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firm, and he has since been involved in the funding and development of numerous medical technology and life sciences companies. Mr. Nohra served as a member of the board of managers of BV LLC, from May 2012 until the time of our IPO. Mr. Nohra currently serves as a member of the board of directors of Spiral Therapeutics, Inc., a private life sciences company. He also previously served on the board of directors of various public companies, including ATS Medical, Inc., Cutera, Inc., AcelRx Pharmaceuticals, Inc., and ZS Pharma, as well as several private companies, including Bionure, Inc., Sanifit Therapeutics S.A., Carbylan Biosurgery, Inc., Cerenis Therapeutics, Coapt Systems, Paracor Medical, Inc. and PneumRx. Mr. Nohra holds a Master in Business Administration from the University of Chicago and received his Bachelor of Arts in History from Stanford University. Mr. Nohra was selected to serve on our Board because of his extensive experience in the life sciences industry, his investment and development experience, and his service as a director of other life sciences companies.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Susan M. Stalnecker </w:t>
      </w:r>
      <w:r>
        <w:rPr>
          <w:rFonts w:ascii="Times New Roman" w:cs="Times New Roman" w:eastAsia="Times New Roman" w:hAnsi="Times New Roman"/>
          <w:sz w:val="18"/>
          <w:szCs w:val="18"/>
          <w:color w:val="auto"/>
        </w:rPr>
        <w:t>has served as a member of our Board since September 2020. Ms. Stalnecker has been a Senior Advisor at Boston Consulting Group,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management consulting firm, since March 2016. Ms. Stalnecker served as Vice President of E.I. duPont de Nemours and Co. (now known as DuPont de Nemours, Inc., or DuPont), a diversified science and innovations public company and leader in the fields of healthcare, electronics and transportation, from December 1976 until she retired in 2016. During her nearly 40-year career at DuPont, Ms. Stalnecker served in several senior leadership roles including Vice President, Treasurer &amp; M&amp;A; Vice President, Risk Management; Vice President, Government and Consumer Markets; and Vice President, Productivity &amp; Shared Services. Ms. Stalnecker served as a member of the board of managers of BV LLC from November 2018 until the time of our IPO. Ms. Stalnecker also currently serves on the board of directors of Optimum Funds McQuairie, where she is a member of the audit committee. She previously served on the board of directors of Leidos Holding, Inc. from 2016 to 2025, where she was a member of the audit and finance committee. From 2009 to 2023, Ms. Stalnecker served on the Board of Trustees of the Duke Health System, where she was a member of the compliance, audit and finance committees. Ms. Stalnecker holds a Master of Business Administration from The Wharton School of the University of Pennsylvania and received her Bachelor of Arts from Duke University. Ms. Stalnecker was selected to serve on our Board because of her qualifications as a financial expert, and her extensive treasury, governance, risk management and investment experience, and her service as a director of other public companies.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Martin P. Sutter </w:t>
      </w:r>
      <w:r>
        <w:rPr>
          <w:rFonts w:ascii="Times New Roman" w:cs="Times New Roman" w:eastAsia="Times New Roman" w:hAnsi="Times New Roman"/>
          <w:sz w:val="18"/>
          <w:szCs w:val="18"/>
          <w:color w:val="auto"/>
        </w:rPr>
        <w:t>has served as a member of our Board since September 2020. Mr. Sutter is one of the two founding Managing Directors of EW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(previously known as Essex Woodlands), one of the oldest and largest life sciences and healthcare focused growth equity and venture capital firms, which he formed in 1985. Mr. Sutter has more than 35 years of management experience in operations, marketing, finance and venture capital. Mr. Sutter served as a member of the board of managers of BV LLC from May 2012 until the time of our IPO. Mr. Sutter also currently serves on the board of directors of MiMedx Group, Inc., a publicly traded regenerative medicine life sciences company, and Prolacta Biosciences, Inc., a privately held life sciences company. Mr. Sutter has also previously served on the board of directors of Abiomed, Inc., Tissue Tech, Inc. and Suneva Medical, Inc. Mr. Sutter currently serves on the compensation and nominating and governance committees of MiMedx Group, Inc. and Prolacta Biosciences, Inc. and previously served on the compensation and nominating and governance committee of Abiomed, Inc. Mr. Sutter holds a Master of Business Administration from the University of Houston and received his Bachelor of Science from Louisiana State University. Mr. Sutter was selected to serve on our Board because of his extensive experience in the life sciences industry, his investment experience, and his service as a director of other life sciences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required by this Item concerning our directors is incorporated by reference from the sections captioned “Election of Directors,” “Corporate Governance” and “Committees of the Board” contained in our definitive proxy statement for our 2026 Annual Meeting of Stockholders to be filed with the SEC within 120 days after the end of the fiscal year ended December 31,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our Audit and Risk Committee is incorporated by reference from the section captioned “Committees of the Board-Audit and Risk Committee” contained in our definitive proxy statement for our 2026 Annual Meeting of Stockholders to be filed with the SEC within 120 days after the end of the fiscal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Compliance and Ethics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written code of compliance and ethics that applies to our directors, officers and employees, including our principal executive officer, principal financial officer, principal accounting officer or controller, or persons performing similar functions. A current copy of the code is posted on our website, </w:t>
      </w:r>
      <w:r>
        <w:rPr>
          <w:rFonts w:ascii="Times New Roman" w:cs="Times New Roman" w:eastAsia="Times New Roman" w:hAnsi="Times New Roman"/>
          <w:sz w:val="18"/>
          <w:szCs w:val="18"/>
          <w:i w:val="1"/>
          <w:iCs w:val="1"/>
          <w:color w:val="auto"/>
        </w:rPr>
        <w:t>www.bioventus.com</w:t>
      </w:r>
      <w:r>
        <w:rPr>
          <w:rFonts w:ascii="Times New Roman" w:cs="Times New Roman" w:eastAsia="Times New Roman" w:hAnsi="Times New Roman"/>
          <w:sz w:val="18"/>
          <w:szCs w:val="18"/>
          <w:color w:val="auto"/>
        </w:rPr>
        <w:t>. In addition, we intend to post on our website all disclosures that are required by law or Nasdaq listing standards concerning any amendments to, or waivers from, any provision of the code.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concerning our executive officers is set forth at the end of Part I of this Annual Report.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compliance with Section 16(a) of the Exchange Act will be incorporated by reference from the section captioned “Delinquent Section 16(a) Reports” contained in our definitive proxy statement for our 2026 Annual Meeting of Stockholders to be filed with the SEC within 120 days after the end of the fiscal year ended December 31, 2025.</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11.</w:t>
      </w:r>
      <w:r>
        <w:rPr>
          <w:sz w:val="20"/>
          <w:szCs w:val="20"/>
          <w:color w:val="auto"/>
        </w:rPr>
        <w:tab/>
      </w:r>
      <w:r>
        <w:rPr>
          <w:rFonts w:ascii="Times New Roman" w:cs="Times New Roman" w:eastAsia="Times New Roman" w:hAnsi="Times New Roman"/>
          <w:sz w:val="21"/>
          <w:szCs w:val="21"/>
          <w:b w:val="1"/>
          <w:bCs w:val="1"/>
          <w:color w:val="auto"/>
        </w:rPr>
        <w:t>Executive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2023, the Company’s Board of Directors adopted the Bioventus, Inc. Compensation Recovery Policy (“Compensation Recovery Policy”) to comply with the clawback rules under the Dodd-Frank Wall Street Reform and Consumer Protection Act which added a new Section 10D to the Securities Exchange Act of 1934. The Compensation Recovery Policy requires the Company to seek the return, repayment, or forfeiture of any cash or equity-based incentive compensation payment or award made or granted to any current or former executive officer of the Company during the three completed fiscal years immediately preceding the date on which the Company is required to prepare a restatement of its financial statements due to material noncompliance of the Company with any financial reporting requirement under the federal securities laws (a “Restatement”), if: (i) the payment or award was granted, earned or vested based wholly or in part upon the attainment of a restated Company financial reporting measure (including, without limitation, company stock price, total shareholder return, global revenues, net income, earnings before interest, taxes, depreciation, and amortization (“EBITDA”), adjusted global EBITDA, funds from operations, liquidity measures, returns measures and earnings measures); and (ii) a lower payment or award would have been made or granted to the executive officer based upon the restated financial results had there not been a Restatement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Analysis of Incentive-based Compensation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prior period error disclosed in </w:t>
      </w:r>
      <w:r>
        <w:rPr>
          <w:rFonts w:ascii="Times New Roman" w:cs="Times New Roman" w:eastAsia="Times New Roman" w:hAnsi="Times New Roman"/>
          <w:sz w:val="18"/>
          <w:szCs w:val="18"/>
          <w:i w:val="1"/>
          <w:iCs w:val="1"/>
          <w:color w:val="auto"/>
        </w:rPr>
        <w:t>Item 8. Financial Statements and Supplementary Data—Notes 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1. Organization, </w:t>
      </w:r>
      <w:r>
        <w:rPr>
          <w:rFonts w:ascii="Times New Roman" w:cs="Times New Roman" w:eastAsia="Times New Roman" w:hAnsi="Times New Roman"/>
          <w:sz w:val="18"/>
          <w:szCs w:val="18"/>
          <w:color w:val="auto"/>
        </w:rPr>
        <w:t>the Company performed a recovery analysis pursuant to its Compensation Recovery Policy. Through its recovery analysis,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determined that the prior period error does not impact the financial reporting measures used by the Company to determine incentive-based compensation of executives, and therefore no incentive compensation had been earned or paid to covered executives during the recovery period based on the pre-restatement financials. Thus, the Company concluded that no recovery was required.</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by reference from the section captioned “Executive and Director Compensation” contained in our definitive proxy statement for our 2026 Annual Meeting of Stockholders to be filed with the SEC within 120 days after the end of the fiscal year ended December 31, 2025.</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Item 12.</w:t>
      </w:r>
      <w:r>
        <w:rPr>
          <w:sz w:val="20"/>
          <w:szCs w:val="20"/>
          <w:color w:val="auto"/>
        </w:rPr>
        <w:tab/>
      </w:r>
      <w:r>
        <w:rPr>
          <w:rFonts w:ascii="Times New Roman" w:cs="Times New Roman" w:eastAsia="Times New Roman" w:hAnsi="Times New Roman"/>
          <w:sz w:val="21"/>
          <w:szCs w:val="21"/>
          <w:b w:val="1"/>
          <w:bCs w:val="1"/>
          <w:color w:val="auto"/>
        </w:rPr>
        <w:t>Security Ownership of Certain Beneficial Owner and Management and Related Stockholder Matters.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captioned “Equity-based Compensation Plan Information” and “Security Ownership of Certain Beneficial Owners and Management” contained in our definitive proxy statement for our 2026 Annual Meeting of Stockholders to be filed with the SEC within 120 days after the end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Item 13.</w:t>
      </w:r>
      <w:r>
        <w:rPr>
          <w:sz w:val="20"/>
          <w:szCs w:val="20"/>
          <w:color w:val="auto"/>
        </w:rPr>
        <w:tab/>
      </w:r>
      <w:r>
        <w:rPr>
          <w:rFonts w:ascii="Times New Roman" w:cs="Times New Roman" w:eastAsia="Times New Roman" w:hAnsi="Times New Roman"/>
          <w:sz w:val="21"/>
          <w:szCs w:val="21"/>
          <w:b w:val="1"/>
          <w:bCs w:val="1"/>
          <w:color w:val="auto"/>
        </w:rPr>
        <w:t>Certain Relationships and Related Transactions, and Director Independence.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captioned “Certain Relationships and Related Party Transactions” contained in our definitive proxy statement for our 2026 Annual Meeting of Stockholders to be filed with the SEC within 120 days after the end of the fiscal year ended December 31, 2025.</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Item 14.</w:t>
      </w:r>
      <w:r>
        <w:rPr>
          <w:sz w:val="20"/>
          <w:szCs w:val="20"/>
          <w:color w:val="auto"/>
        </w:rPr>
        <w:tab/>
      </w:r>
      <w:r>
        <w:rPr>
          <w:rFonts w:ascii="Times New Roman" w:cs="Times New Roman" w:eastAsia="Times New Roman" w:hAnsi="Times New Roman"/>
          <w:sz w:val="21"/>
          <w:szCs w:val="21"/>
          <w:b w:val="1"/>
          <w:bCs w:val="1"/>
          <w:color w:val="auto"/>
        </w:rPr>
        <w:t>Principal Accounting Fees and Services.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captioned “Report of the Audit and Risk Committee of the Board of Directors” contained in our definitive proxy statement for our 2026 Annual Meeting of Stockholders to be filed with the SEC within 120 days after the end of the fiscal year ended December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and Financial Statement Schedules.</w:t>
      </w:r>
    </w:p>
    <w:p>
      <w:pPr>
        <w:spacing w:after="0" w:line="109" w:lineRule="exact"/>
        <w:rPr>
          <w:sz w:val="20"/>
          <w:szCs w:val="20"/>
          <w:color w:val="auto"/>
        </w:rPr>
      </w:pPr>
    </w:p>
    <w:p>
      <w:pPr>
        <w:ind w:left="660" w:hanging="328"/>
        <w:spacing w:after="0" w:line="284" w:lineRule="auto"/>
        <w:tabs>
          <w:tab w:leader="none" w:pos="6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the table of contents under</w:t>
      </w:r>
      <w:r>
        <w:rPr>
          <w:rFonts w:ascii="Times New Roman" w:cs="Times New Roman" w:eastAsia="Times New Roman" w:hAnsi="Times New Roman"/>
          <w:sz w:val="18"/>
          <w:szCs w:val="18"/>
          <w:i w:val="1"/>
          <w:iCs w:val="1"/>
          <w:color w:val="auto"/>
        </w:rPr>
        <w:t xml:space="preserve"> Part II, Item 8. Financial Statements and Supplementary Data </w:t>
      </w:r>
      <w:r>
        <w:rPr>
          <w:rFonts w:ascii="Times New Roman" w:cs="Times New Roman" w:eastAsia="Times New Roman" w:hAnsi="Times New Roman"/>
          <w:sz w:val="18"/>
          <w:szCs w:val="18"/>
          <w:color w:val="auto"/>
        </w:rPr>
        <w:t>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above for the list of financial statements filed as part of this report.</w:t>
      </w:r>
    </w:p>
    <w:p>
      <w:pPr>
        <w:spacing w:after="0" w:line="5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is a list of exhibits filed as part of this Annual Report on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r>
      <w:tr>
        <w:trPr>
          <w:trHeight w:val="190"/>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3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Agreement and Plan of Merger, dated as of March</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3/31/2021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30, 2021, by and among Bioventus LLC, Bioness</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spacing w:after="0" w:line="184"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Inc., Perseus Intermediate, Inc., Perseus Merger</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81"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Sub, Inc., Alfred E. Mann Living Trust and Mann</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Group, LLC.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Agreement and Plan of Merger, dated July 29,</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2021, by and among Bioventus Inc., Oyster</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spacing w:after="0" w:line="184" w:lineRule="exact"/>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Merger Sub I, Inc., Oyster Merger Sub II, LLC and</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Misonix, Inc.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Asset Purchase Agreement, dated as of May 10,</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5/16/2023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2023, by and among Misonix, LLC, Solsys</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spacing w:after="0" w:line="184" w:lineRule="exact"/>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Medical, LLC, Bioventus LLC and LifeNet</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Health.</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Purchase and Sale Agreement, dated as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10/4/2024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September 30, 2024, by and among Bioventus</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spacing w:after="0" w:line="184" w:lineRule="exact"/>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LLC, Bioness Inc., Bioventus Cooperatief, U.A.,</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0">
              <w:r>
                <w:rPr>
                  <w:rFonts w:ascii="Times New Roman" w:cs="Times New Roman" w:eastAsia="Times New Roman" w:hAnsi="Times New Roman"/>
                  <w:sz w:val="18"/>
                  <w:szCs w:val="18"/>
                  <w:color w:val="auto"/>
                </w:rPr>
                <w:t>and Rehab Acquisition Corporation, III.</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Second Amended and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Incorporation of Bioventus Inc.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3.1(a)</w:t>
            </w:r>
          </w:p>
        </w:tc>
        <w:tc>
          <w:tcPr>
            <w:tcW w:w="3820" w:type="dxa"/>
            <w:vAlign w:val="bottom"/>
            <w:gridSpan w:val="2"/>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Certificate of Amendment to Amended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6/17/2024</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Restated Certificate of Incorporation of Bioventus</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1">
              <w:r>
                <w:rPr>
                  <w:rFonts w:ascii="Times New Roman" w:cs="Times New Roman" w:eastAsia="Times New Roman" w:hAnsi="Times New Roman"/>
                  <w:sz w:val="18"/>
                  <w:szCs w:val="18"/>
                  <w:color w:val="auto"/>
                </w:rPr>
                <w:t>Inc.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Second Amended and Restated Bylaws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Bioventus Inc.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Specimen Stock Certificate evidencing the shares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333-252238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of Class A common stock.</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6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Description of Capital Stock.</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3/11/2025</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Tax Receivable Agreement, dated as of February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2/17/2021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16, 2021, by and among Bioventus Inc., Bioventus</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LLC and its Members.</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Registration Rights Agreement, dated February 16,</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2/17/2021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spacing w:after="0" w:line="176"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2021, by and among Bioventus Inc. and the</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Original LLC.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r>
      <w:tr>
        <w:trPr>
          <w:trHeight w:val="190"/>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69"/>
        </w:trPr>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4"/>
                <w:szCs w:val="14"/>
                <w:color w:val="auto"/>
              </w:rPr>
            </w:pPr>
          </w:p>
        </w:tc>
        <w:tc>
          <w:tcPr>
            <w:tcW w:w="3720" w:type="dxa"/>
            <w:vAlign w:val="bottom"/>
          </w:tcPr>
          <w:p>
            <w:pPr>
              <w:ind w:left="20"/>
              <w:spacing w:after="0" w:line="169"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Second Amended and Restated Limited Liability</w:t>
              </w:r>
            </w:hyperlink>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14"/>
                <w:szCs w:val="14"/>
                <w:color w:val="auto"/>
              </w:rPr>
            </w:pPr>
          </w:p>
        </w:tc>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2/17/2021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Company Agreement of Bioventus LLC dated as</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of February 16, 2021.</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4"/>
                <w:szCs w:val="24"/>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Stockholders Agreement, dated February 16, 2021,</w:t>
              </w:r>
            </w:hyperlink>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by and among Bioventus Inc., Bioventus LLC and</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the Principal Stockholders.</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10.4(a)</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Amendment No. 1 to Stockholders Agreement,</w:t>
              </w:r>
            </w:hyperlink>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6/21/2024</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dated June 19, 2024, by and among Bioventus Inc.,</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Bioventus LLC and the Principal Stockholders.</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10.5†</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Amended and Restated License Agreement, dated</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as of December 9, 2016, by and between</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Bioventus LLC, Q-Med AB and Nestlé Skin</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Health S.A.</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0"/>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10.6†</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Amended and Restated Supply Agreement, dated</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as of December 9, 2016, by and between</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Bioventus LLC and Q-Med AB.</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10.7†</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Exclusive License, Supply and Distribution</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Agreement, dated as of February 9, 2016, by and</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between IBSA Institut Biochimique SA</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(Switzerland) and Bioventus LLC.</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0"/>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10.7(a)†</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Amendment No. 1 to Exclusive License, Supply</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10.7(a)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and Distribution Agreement, dated as of December</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31, 2018, by and between IBSA Institut</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Biochimique SA (Switzerland) and Bioventus</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LLC.</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10.7(b)†</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Amendment No. 2 to Exclusive License, Supply</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10.7(b)</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2/4/2021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and Distribution Agreement, dated as of December</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31, 2020, by and between IBSA Institut</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Biochimique SA (Switzerland) and Bioventus</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LLC.</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Credit and Guaranty Agreement, dated as of</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December 6, 2019, by and among Bioventus LLC,</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certain Guarantor Subsidiaries party thereto, Wells</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Fargo Bank, National Association, as</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administrative agent and collateral agent and the</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lenders and other financial institutions party</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thereto.</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5"/>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10.8(a)</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Amendment No. 1 to Credit and Guaranty</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Agreement, dated as of August 29, 2021, by and</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among Bioventus LLC, certain Guarantor</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Subsidiaries party thereto, Wells Fargo Bank,</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National Association, as administrative agent and</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the lenders and other financial institutions party</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thereto.</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5"/>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10.8(b)</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Amendment No. 2 to Credit and Guaranty</w:t>
              </w:r>
            </w:hyperlink>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2"/>
          </w:tcPr>
          <w:p>
            <w:pPr>
              <w:ind w:left="20"/>
              <w:spacing w:after="0" w:line="204"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Agreement, dated as of October 29, 2021, by and</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ind w:left="1320"/>
        <w:spacing w:after="0" w:line="203" w:lineRule="auto"/>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among Bioventus LLC, Oyster Merger Sub I,</w:t>
        </w:r>
      </w:hyperlink>
    </w:p>
    <w:p>
      <w:pPr>
        <w:ind w:left="1320"/>
        <w:spacing w:after="0" w:line="203" w:lineRule="auto"/>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LLC, Oyster Merger Sub II, LLC, Misonix, Inc.,</w:t>
        </w:r>
      </w:hyperlink>
    </w:p>
    <w:p>
      <w:pPr>
        <w:ind w:left="1320"/>
        <w:spacing w:after="0" w:line="220" w:lineRule="auto"/>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certain Guarantor Subsidiaries party thereto, Wells</w:t>
        </w:r>
      </w:hyperlink>
    </w:p>
    <w:p>
      <w:pPr>
        <w:ind w:left="1320"/>
        <w:spacing w:after="0" w:line="203" w:lineRule="auto"/>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Fargo Bank, National Association, as</w:t>
        </w:r>
      </w:hyperlink>
    </w:p>
    <w:p>
      <w:pPr>
        <w:ind w:left="1320"/>
        <w:spacing w:after="0" w:line="204" w:lineRule="auto"/>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administrative agent and the lenders and other</w:t>
        </w:r>
      </w:hyperlink>
    </w:p>
    <w:p>
      <w:pPr>
        <w:ind w:left="1320"/>
        <w:spacing w:after="0"/>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financial institutions party thereto.</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r>
      <w:tr>
        <w:trPr>
          <w:trHeight w:val="190"/>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69"/>
        </w:trPr>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10.8(c)</w:t>
            </w:r>
          </w:p>
        </w:tc>
        <w:tc>
          <w:tcPr>
            <w:tcW w:w="100" w:type="dxa"/>
            <w:vAlign w:val="bottom"/>
          </w:tcPr>
          <w:p>
            <w:pPr>
              <w:spacing w:after="0"/>
              <w:rPr>
                <w:sz w:val="14"/>
                <w:szCs w:val="14"/>
                <w:color w:val="auto"/>
              </w:rPr>
            </w:pPr>
          </w:p>
        </w:tc>
        <w:tc>
          <w:tcPr>
            <w:tcW w:w="3720" w:type="dxa"/>
            <w:vAlign w:val="bottom"/>
          </w:tcPr>
          <w:p>
            <w:pPr>
              <w:ind w:left="20"/>
              <w:spacing w:after="0" w:line="169"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Amendment No. 3 to Credit and Guaranty</w:t>
              </w:r>
            </w:hyperlink>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14"/>
                <w:szCs w:val="14"/>
                <w:color w:val="auto"/>
              </w:rPr>
            </w:pPr>
          </w:p>
        </w:tc>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7/12/2022</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Agreement between Bioventus LLC, Guarantor</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Subsidiaries party thereto, Wells Fargo Bank,</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National Association, as administrative agent,</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0">
              <w:r>
                <w:rPr>
                  <w:rFonts w:ascii="Times New Roman" w:cs="Times New Roman" w:eastAsia="Times New Roman" w:hAnsi="Times New Roman"/>
                  <w:sz w:val="18"/>
                  <w:szCs w:val="18"/>
                  <w:color w:val="auto"/>
                </w:rPr>
                <w:t>dated July 11, 2022.</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10.8(d)</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Amendment No. 4 to Credit and Guaranty</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10.8(d)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Agreement between Bioventus LLC, Guarantor</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Subsidiaries party thereto, Wells Fargo Bank,</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National Association, as administrative agent,</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1">
              <w:r>
                <w:rPr>
                  <w:rFonts w:ascii="Times New Roman" w:cs="Times New Roman" w:eastAsia="Times New Roman" w:hAnsi="Times New Roman"/>
                  <w:sz w:val="18"/>
                  <w:szCs w:val="18"/>
                  <w:color w:val="auto"/>
                </w:rPr>
                <w:t>dated March 31, 2023.</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10.8(e)</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Amendment No. 5 to Credit and Guaranty</w:t>
              </w:r>
            </w:hyperlink>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Agreement between Bioventus LLC, Guarantor</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Subsidiaries party thereto, Wells Fargo Bank,</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National Association, as administrative agent and</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collateral agent, and the lenders and other financial</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institutions party thereto, dated January 18, 2024.</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Credit Agreement between Bioventus LLC, Wells</w:t>
              </w:r>
            </w:hyperlink>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Fargo Bank, National Association, as</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administrative agent, and the lenders and other</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76" w:lineRule="exact"/>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financial institutions party thereto, dated July 31,</w:t>
              </w:r>
            </w:hyperlink>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2025.</w:t>
              </w:r>
            </w:hyperlink>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Director Offer Letter, dated as of December 11,</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2015, by and between Bioventus LLC and William</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A. Hawkins.</w:t>
              </w:r>
            </w:hyperlink>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Director Offer Letter, dated as of October 3, 2018,</w:t>
              </w:r>
            </w:hyperlink>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333-252238</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1/20/2021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2"/>
          </w:tcPr>
          <w:p>
            <w:pPr>
              <w:ind w:left="20"/>
              <w:spacing w:after="0" w:line="204"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by and between Bioventus LLC and Susan M.</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ind w:left="1320"/>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Stalnecker.</w:t>
        </w:r>
      </w:hyperlink>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10.12^</w:t>
            </w:r>
          </w:p>
        </w:tc>
        <w:tc>
          <w:tcPr>
            <w:tcW w:w="4100" w:type="dxa"/>
            <w:vAlign w:val="bottom"/>
          </w:tcPr>
          <w:p>
            <w:pPr>
              <w:ind w:left="240"/>
              <w:spacing w:after="0"/>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Bioventus Inc. 2021 Employee Stock Purchase</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Plan.</w:t>
              </w:r>
            </w:hyperlink>
          </w:p>
        </w:tc>
        <w:tc>
          <w:tcPr>
            <w:tcW w:w="620" w:type="dxa"/>
            <w:vAlign w:val="bottom"/>
          </w:tcPr>
          <w:p>
            <w:pPr>
              <w:spacing w:after="0"/>
              <w:rPr>
                <w:sz w:val="20"/>
                <w:szCs w:val="20"/>
                <w:color w:val="auto"/>
              </w:rPr>
            </w:pPr>
          </w:p>
        </w:tc>
      </w:tr>
      <w:tr>
        <w:trPr>
          <w:trHeight w:val="292"/>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10.13^</w:t>
            </w:r>
          </w:p>
        </w:tc>
        <w:tc>
          <w:tcPr>
            <w:tcW w:w="4100" w:type="dxa"/>
            <w:vAlign w:val="bottom"/>
          </w:tcPr>
          <w:p>
            <w:pPr>
              <w:ind w:left="240"/>
              <w:spacing w:after="0"/>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Bioventus Inc. 2021 Equity Incentive Plan.</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10-Q</w:t>
            </w:r>
          </w:p>
        </w:tc>
      </w:tr>
      <w:tr>
        <w:trPr>
          <w:trHeight w:val="256"/>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10.14^</w:t>
            </w:r>
          </w:p>
        </w:tc>
        <w:tc>
          <w:tcPr>
            <w:tcW w:w="4100" w:type="dxa"/>
            <w:vAlign w:val="bottom"/>
          </w:tcPr>
          <w:p>
            <w:pPr>
              <w:ind w:left="240"/>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Form of Notice of Stock Option Grant and Stock</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Option Agreement.</w:t>
              </w:r>
            </w:hyperlink>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10.15^</w:t>
            </w:r>
          </w:p>
        </w:tc>
        <w:tc>
          <w:tcPr>
            <w:tcW w:w="4100" w:type="dxa"/>
            <w:vAlign w:val="bottom"/>
          </w:tcPr>
          <w:p>
            <w:pPr>
              <w:ind w:left="240"/>
              <w:spacing w:after="0"/>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Form of Restricted Stock Unit Award Grant Notice</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and Restricted Stock Unit Agreement.</w:t>
              </w:r>
            </w:hyperlink>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10.16^</w:t>
            </w:r>
          </w:p>
        </w:tc>
        <w:tc>
          <w:tcPr>
            <w:tcW w:w="4100" w:type="dxa"/>
            <w:vAlign w:val="bottom"/>
          </w:tcPr>
          <w:p>
            <w:pPr>
              <w:ind w:left="240"/>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Form of Restricted Stock Unit Award Grant Notice</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10-K</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and Restricted Stock Unit Agreement (2025).</w:t>
              </w:r>
            </w:hyperlink>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10.</w:t>
              </w:r>
            </w:hyperlink>
            <w:r>
              <w:rPr>
                <w:rFonts w:ascii="Times New Roman" w:cs="Times New Roman" w:eastAsia="Times New Roman" w:hAnsi="Times New Roman"/>
                <w:sz w:val="18"/>
                <w:szCs w:val="18"/>
                <w:color w:val="auto"/>
              </w:rPr>
              <w:t>17^</w:t>
            </w:r>
          </w:p>
        </w:tc>
        <w:tc>
          <w:tcPr>
            <w:tcW w:w="4100" w:type="dxa"/>
            <w:vAlign w:val="bottom"/>
          </w:tcPr>
          <w:p>
            <w:pPr>
              <w:ind w:left="240"/>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Form of Bioventus Performance Restricted Stock</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10-K</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Unit Award Grant Notice and Agreement (2025).</w:t>
              </w:r>
            </w:hyperlink>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10.18^</w:t>
            </w: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Bioventus Performance Restricted Stock</w:t>
            </w:r>
          </w:p>
        </w:tc>
        <w:tc>
          <w:tcPr>
            <w:tcW w:w="62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Award Grant Notice and Agreement (2026).</w:t>
            </w:r>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10.19^</w:t>
            </w:r>
          </w:p>
        </w:tc>
        <w:tc>
          <w:tcPr>
            <w:tcW w:w="4100" w:type="dxa"/>
            <w:vAlign w:val="bottom"/>
          </w:tcPr>
          <w:p>
            <w:pPr>
              <w:ind w:left="240"/>
              <w:spacing w:after="0"/>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Bioventus Inc. Non-Employee Director</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Compensation Policy.</w:t>
              </w:r>
            </w:hyperlink>
          </w:p>
        </w:tc>
        <w:tc>
          <w:tcPr>
            <w:tcW w:w="620" w:type="dxa"/>
            <w:vAlign w:val="bottom"/>
          </w:tcPr>
          <w:p>
            <w:pPr>
              <w:spacing w:after="0"/>
              <w:rPr>
                <w:sz w:val="20"/>
                <w:szCs w:val="20"/>
                <w:color w:val="auto"/>
              </w:rPr>
            </w:pPr>
          </w:p>
        </w:tc>
      </w:tr>
      <w:tr>
        <w:trPr>
          <w:trHeight w:val="23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10.20^</w:t>
            </w:r>
          </w:p>
        </w:tc>
        <w:tc>
          <w:tcPr>
            <w:tcW w:w="4100" w:type="dxa"/>
            <w:vAlign w:val="bottom"/>
          </w:tcPr>
          <w:p>
            <w:pPr>
              <w:ind w:left="240"/>
              <w:spacing w:after="0"/>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Employment Agreement, dated as of February 9,</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r>
        <w:trPr>
          <w:trHeight w:val="184"/>
        </w:trPr>
        <w:tc>
          <w:tcPr>
            <w:tcW w:w="720" w:type="dxa"/>
            <w:vAlign w:val="bottom"/>
          </w:tcPr>
          <w:p>
            <w:pPr>
              <w:spacing w:after="0"/>
              <w:rPr>
                <w:sz w:val="16"/>
                <w:szCs w:val="16"/>
                <w:color w:val="auto"/>
              </w:rPr>
            </w:pPr>
          </w:p>
        </w:tc>
        <w:tc>
          <w:tcPr>
            <w:tcW w:w="4100" w:type="dxa"/>
            <w:vAlign w:val="bottom"/>
          </w:tcPr>
          <w:p>
            <w:pPr>
              <w:ind w:left="240"/>
              <w:spacing w:after="0" w:line="184" w:lineRule="exact"/>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2021, by and among Bioventus Inc., Bioventus</w:t>
              </w:r>
            </w:hyperlink>
          </w:p>
        </w:tc>
        <w:tc>
          <w:tcPr>
            <w:tcW w:w="620" w:type="dxa"/>
            <w:vAlign w:val="bottom"/>
          </w:tcPr>
          <w:p>
            <w:pPr>
              <w:spacing w:after="0"/>
              <w:rPr>
                <w:sz w:val="16"/>
                <w:szCs w:val="16"/>
                <w:color w:val="auto"/>
              </w:rPr>
            </w:pPr>
          </w:p>
        </w:tc>
      </w:tr>
      <w:tr>
        <w:trPr>
          <w:trHeight w:val="234"/>
        </w:trPr>
        <w:tc>
          <w:tcPr>
            <w:tcW w:w="720" w:type="dxa"/>
            <w:vAlign w:val="bottom"/>
          </w:tcPr>
          <w:p>
            <w:pPr>
              <w:spacing w:after="0"/>
              <w:rPr>
                <w:sz w:val="20"/>
                <w:szCs w:val="20"/>
                <w:color w:val="auto"/>
              </w:rPr>
            </w:pPr>
          </w:p>
        </w:tc>
        <w:tc>
          <w:tcPr>
            <w:tcW w:w="4100" w:type="dxa"/>
            <w:vAlign w:val="bottom"/>
          </w:tcPr>
          <w:p>
            <w:pPr>
              <w:ind w:left="240"/>
              <w:spacing w:after="0"/>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LLC and Anthony D’Adamio.</w:t>
              </w:r>
            </w:hyperlink>
          </w:p>
        </w:tc>
        <w:tc>
          <w:tcPr>
            <w:tcW w:w="620" w:type="dxa"/>
            <w:vAlign w:val="bottom"/>
          </w:tcPr>
          <w:p>
            <w:pPr>
              <w:spacing w:after="0"/>
              <w:rPr>
                <w:sz w:val="20"/>
                <w:szCs w:val="20"/>
                <w:color w:val="auto"/>
              </w:rPr>
            </w:pPr>
          </w:p>
        </w:tc>
      </w:tr>
      <w:tr>
        <w:trPr>
          <w:trHeight w:val="284"/>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10.21</w:t>
            </w:r>
          </w:p>
        </w:tc>
        <w:tc>
          <w:tcPr>
            <w:tcW w:w="4100" w:type="dxa"/>
            <w:vAlign w:val="bottom"/>
          </w:tcPr>
          <w:p>
            <w:pPr>
              <w:ind w:left="240"/>
              <w:spacing w:after="0"/>
              <w:rPr>
                <w:rFonts w:ascii="Times New Roman" w:cs="Times New Roman" w:eastAsia="Times New Roman" w:hAnsi="Times New Roman"/>
                <w:sz w:val="18"/>
                <w:szCs w:val="18"/>
                <w:color w:val="auto"/>
              </w:rPr>
            </w:pPr>
            <w:hyperlink r:id="rId214">
              <w:r>
                <w:rPr>
                  <w:rFonts w:ascii="Times New Roman" w:cs="Times New Roman" w:eastAsia="Times New Roman" w:hAnsi="Times New Roman"/>
                  <w:sz w:val="18"/>
                  <w:szCs w:val="18"/>
                  <w:color w:val="auto"/>
                </w:rPr>
                <w:t>Form of Indemnification Agreement.</w:t>
              </w:r>
            </w:hyperlink>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S-1/A</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2/4/2021</w:t>
            </w:r>
          </w:p>
        </w:tc>
      </w:tr>
      <w:tr>
        <w:trPr>
          <w:trHeight w:val="473"/>
        </w:trPr>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001-37844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8/12/2022</w:t>
            </w:r>
          </w:p>
        </w:tc>
      </w:tr>
      <w:tr>
        <w:trPr>
          <w:trHeight w:val="311"/>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2/10/2021</w:t>
            </w:r>
          </w:p>
        </w:tc>
      </w:tr>
      <w:tr>
        <w:trPr>
          <w:trHeight w:val="472"/>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2/10/2021</w:t>
            </w:r>
          </w:p>
        </w:tc>
      </w:tr>
      <w:tr>
        <w:trPr>
          <w:trHeight w:val="459"/>
        </w:trPr>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001-37844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3/11/2025</w:t>
            </w:r>
          </w:p>
        </w:tc>
      </w:tr>
      <w:tr>
        <w:trPr>
          <w:trHeight w:val="473"/>
        </w:trPr>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001-37844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3/11/2025</w:t>
            </w:r>
          </w:p>
        </w:tc>
      </w:tr>
      <w:tr>
        <w:trPr>
          <w:trHeight w:val="473"/>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2/10/2021</w:t>
            </w:r>
          </w:p>
        </w:tc>
      </w:tr>
      <w:tr>
        <w:trPr>
          <w:trHeight w:val="473"/>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10.55</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2/10/2021</w:t>
            </w:r>
          </w:p>
        </w:tc>
      </w:tr>
      <w:tr>
        <w:trPr>
          <w:trHeight w:val="648"/>
        </w:trPr>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333-252238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20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2/4/2021</w:t>
            </w:r>
          </w:p>
        </w:tc>
      </w:tr>
    </w:tbl>
    <w:p>
      <w:pPr>
        <w:spacing w:after="0" w:line="200" w:lineRule="exact"/>
        <w:rPr>
          <w:sz w:val="20"/>
          <w:szCs w:val="20"/>
          <w:color w:val="auto"/>
        </w:rPr>
      </w:pPr>
    </w:p>
    <w:p>
      <w:pPr>
        <w:sectPr>
          <w:pgSz w:w="11900" w:h="16838" w:orient="portrait"/>
          <w:cols w:equalWidth="0" w:num="2">
            <w:col w:w="5800" w:space="600"/>
            <w:col w:w="4840"/>
          </w:cols>
          <w:pgMar w:left="320" w:top="121"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r>
      <w:tr>
        <w:trPr>
          <w:trHeight w:val="190"/>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9"/>
        </w:trPr>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4"/>
                <w:szCs w:val="14"/>
                <w:color w:val="auto"/>
              </w:rPr>
            </w:pPr>
          </w:p>
        </w:tc>
        <w:tc>
          <w:tcPr>
            <w:tcW w:w="3720" w:type="dxa"/>
            <w:vAlign w:val="bottom"/>
          </w:tcPr>
          <w:p>
            <w:pPr>
              <w:ind w:left="20"/>
              <w:spacing w:after="0" w:line="169" w:lineRule="exact"/>
              <w:rPr>
                <w:rFonts w:ascii="Times New Roman" w:cs="Times New Roman" w:eastAsia="Times New Roman" w:hAnsi="Times New Roman"/>
                <w:sz w:val="18"/>
                <w:szCs w:val="18"/>
                <w:color w:val="auto"/>
              </w:rPr>
            </w:pPr>
            <w:hyperlink r:id="rId216">
              <w:r>
                <w:rPr>
                  <w:rFonts w:ascii="Times New Roman" w:cs="Times New Roman" w:eastAsia="Times New Roman" w:hAnsi="Times New Roman"/>
                  <w:sz w:val="18"/>
                  <w:szCs w:val="18"/>
                  <w:color w:val="auto"/>
                </w:rPr>
                <w:t>Lease Agreement, dated November 17, 2021,</w:t>
              </w:r>
            </w:hyperlink>
          </w:p>
        </w:tc>
        <w:tc>
          <w:tcPr>
            <w:tcW w:w="100" w:type="dxa"/>
            <w:vAlign w:val="bottom"/>
          </w:tcPr>
          <w:p>
            <w:pPr>
              <w:spacing w:after="0"/>
              <w:rPr>
                <w:sz w:val="14"/>
                <w:szCs w:val="14"/>
                <w:color w:val="auto"/>
              </w:rPr>
            </w:pP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11/22/2021</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16">
              <w:r>
                <w:rPr>
                  <w:rFonts w:ascii="Times New Roman" w:cs="Times New Roman" w:eastAsia="Times New Roman" w:hAnsi="Times New Roman"/>
                  <w:sz w:val="18"/>
                  <w:szCs w:val="18"/>
                  <w:color w:val="auto"/>
                </w:rPr>
                <w:t>between Bioventus LLC and 7101 Goodlett Farms</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6">
              <w:r>
                <w:rPr>
                  <w:rFonts w:ascii="Times New Roman" w:cs="Times New Roman" w:eastAsia="Times New Roman" w:hAnsi="Times New Roman"/>
                  <w:sz w:val="18"/>
                  <w:szCs w:val="18"/>
                  <w:color w:val="auto"/>
                </w:rPr>
                <w:t>Parkway, LLC.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10.22(a)</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7">
              <w:r>
                <w:rPr>
                  <w:rFonts w:ascii="Times New Roman" w:cs="Times New Roman" w:eastAsia="Times New Roman" w:hAnsi="Times New Roman"/>
                  <w:sz w:val="18"/>
                  <w:szCs w:val="18"/>
                  <w:color w:val="auto"/>
                </w:rPr>
                <w:t>Amendment to the Lease Agreement, dated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17">
              <w:r>
                <w:rPr>
                  <w:rFonts w:ascii="Times New Roman" w:cs="Times New Roman" w:eastAsia="Times New Roman" w:hAnsi="Times New Roman"/>
                  <w:sz w:val="18"/>
                  <w:szCs w:val="18"/>
                  <w:color w:val="auto"/>
                </w:rPr>
                <w:t>October 14, 2024, between Bioventus LLC and</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7">
              <w:r>
                <w:rPr>
                  <w:rFonts w:ascii="Times New Roman" w:cs="Times New Roman" w:eastAsia="Times New Roman" w:hAnsi="Times New Roman"/>
                  <w:sz w:val="18"/>
                  <w:szCs w:val="18"/>
                  <w:color w:val="auto"/>
                </w:rPr>
                <w:t>7101 Goodlett Farms Parkway, LLC.</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Revised Employment Agreement, dated as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February 14, 2022, by and among Bioventus Inc.,</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Bioventus LLC and Mark Singleton.</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9">
              <w:r>
                <w:rPr>
                  <w:rFonts w:ascii="Times New Roman" w:cs="Times New Roman" w:eastAsia="Times New Roman" w:hAnsi="Times New Roman"/>
                  <w:sz w:val="18"/>
                  <w:szCs w:val="18"/>
                  <w:color w:val="auto"/>
                </w:rPr>
                <w:t>Bioventus Inc. Restricted Stock Unit Award Grant</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333-264050</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19">
              <w:r>
                <w:rPr>
                  <w:rFonts w:ascii="Times New Roman" w:cs="Times New Roman" w:eastAsia="Times New Roman" w:hAnsi="Times New Roman"/>
                  <w:sz w:val="18"/>
                  <w:szCs w:val="18"/>
                  <w:color w:val="auto"/>
                </w:rPr>
                <w:t>Notice and Restricted Stock Unit Agreement</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19">
              <w:r>
                <w:rPr>
                  <w:rFonts w:ascii="Times New Roman" w:cs="Times New Roman" w:eastAsia="Times New Roman" w:hAnsi="Times New Roman"/>
                  <w:sz w:val="18"/>
                  <w:szCs w:val="18"/>
                  <w:color w:val="auto"/>
                </w:rPr>
                <w:t>Inducement Award.</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Bioventus Inc. Notice of Stock Option Grant</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333-264050</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Inducement Award.</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Settlement Agreement by and among CartiHeal</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5/16/2023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(2009) Ltd., Bioventus LLC, Elron Ventures Ltd.,</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and certain other parties detailed therein, dated</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February 27, 2023.</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5"/>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10.27†</w:t>
            </w: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Amended and Restated Exclusive Distribution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333-252238</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1/20/2021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Agreement No. 2, between Bioventus LLC and</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2"/>
          </w:tcPr>
          <w:p>
            <w:pPr>
              <w:ind w:left="20"/>
              <w:spacing w:after="0" w:line="181" w:lineRule="exact"/>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Seikagaku Corporation and dated as of December</w:t>
              </w:r>
            </w:hyperlink>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22, 2020.</w:t>
              </w:r>
            </w:hyperlink>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5"/>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3">
              <w:r>
                <w:rPr>
                  <w:rFonts w:ascii="Times New Roman" w:cs="Times New Roman" w:eastAsia="Times New Roman" w:hAnsi="Times New Roman"/>
                  <w:sz w:val="18"/>
                  <w:szCs w:val="18"/>
                  <w:color w:val="auto"/>
                </w:rPr>
                <w:t>Consulting Agreement between Alessandra</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5/16/2023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23">
              <w:r>
                <w:rPr>
                  <w:rFonts w:ascii="Times New Roman" w:cs="Times New Roman" w:eastAsia="Times New Roman" w:hAnsi="Times New Roman"/>
                  <w:sz w:val="18"/>
                  <w:szCs w:val="18"/>
                  <w:color w:val="auto"/>
                </w:rPr>
                <w:t>Pavesio and Bioventus LLC, dated as of January</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rFonts w:ascii="Times New Roman" w:cs="Times New Roman" w:eastAsia="Times New Roman" w:hAnsi="Times New Roman"/>
                <w:sz w:val="18"/>
                <w:szCs w:val="18"/>
                <w:color w:val="auto"/>
              </w:rPr>
            </w:pPr>
            <w:hyperlink r:id="rId223">
              <w:r>
                <w:rPr>
                  <w:rFonts w:ascii="Times New Roman" w:cs="Times New Roman" w:eastAsia="Times New Roman" w:hAnsi="Times New Roman"/>
                  <w:sz w:val="18"/>
                  <w:szCs w:val="18"/>
                  <w:color w:val="auto"/>
                </w:rPr>
                <w:t>1, 2023.</w:t>
              </w:r>
            </w:hyperlink>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8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4"/>
                <w:szCs w:val="24"/>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4">
              <w:r>
                <w:rPr>
                  <w:rFonts w:ascii="Times New Roman" w:cs="Times New Roman" w:eastAsia="Times New Roman" w:hAnsi="Times New Roman"/>
                  <w:sz w:val="18"/>
                  <w:szCs w:val="18"/>
                  <w:color w:val="auto"/>
                </w:rPr>
                <w:t>Bioventus Inc. 2023 Retention Equity Award Plan.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6/9/2023</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Form of Restricted Stock Unit Award Grant Notice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5">
              <w:r>
                <w:rPr>
                  <w:rFonts w:ascii="Times New Roman" w:cs="Times New Roman" w:eastAsia="Times New Roman" w:hAnsi="Times New Roman"/>
                  <w:sz w:val="18"/>
                  <w:szCs w:val="18"/>
                  <w:color w:val="auto"/>
                </w:rPr>
                <w:t>and Restricted Stock Unit Agreement.</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Employment Agreement, between Robert 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20"/>
              <w:spacing w:after="0" w:line="184" w:lineRule="exact"/>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Claypoole and Bioventus Inc., dated as of</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6">
              <w:r>
                <w:rPr>
                  <w:rFonts w:ascii="Times New Roman" w:cs="Times New Roman" w:eastAsia="Times New Roman" w:hAnsi="Times New Roman"/>
                  <w:sz w:val="18"/>
                  <w:szCs w:val="18"/>
                  <w:color w:val="auto"/>
                </w:rPr>
                <w:t>December 19, 2023.</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7">
              <w:r>
                <w:rPr>
                  <w:rFonts w:ascii="Times New Roman" w:cs="Times New Roman" w:eastAsia="Times New Roman" w:hAnsi="Times New Roman"/>
                  <w:sz w:val="18"/>
                  <w:szCs w:val="18"/>
                  <w:color w:val="auto"/>
                </w:rPr>
                <w:t>Form of Bioventus Inc. Inducement Award -</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7">
              <w:r>
                <w:rPr>
                  <w:rFonts w:ascii="Times New Roman" w:cs="Times New Roman" w:eastAsia="Times New Roman" w:hAnsi="Times New Roman"/>
                  <w:sz w:val="18"/>
                  <w:szCs w:val="18"/>
                  <w:color w:val="auto"/>
                </w:rPr>
                <w:t>Restricted Stock Unit Agreement.</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8">
              <w:r>
                <w:rPr>
                  <w:rFonts w:ascii="Times New Roman" w:cs="Times New Roman" w:eastAsia="Times New Roman" w:hAnsi="Times New Roman"/>
                  <w:sz w:val="18"/>
                  <w:szCs w:val="18"/>
                  <w:color w:val="auto"/>
                </w:rPr>
                <w:t>Form of Bioventus Inc. Inducement Award -</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12/21/2023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8">
              <w:r>
                <w:rPr>
                  <w:rFonts w:ascii="Times New Roman" w:cs="Times New Roman" w:eastAsia="Times New Roman" w:hAnsi="Times New Roman"/>
                  <w:sz w:val="18"/>
                  <w:szCs w:val="18"/>
                  <w:color w:val="auto"/>
                </w:rPr>
                <w:t>Option Agreement.</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Letter Agreement Amending Restricted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 Award Agreements and Grant Notices.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8"/>
        </w:trPr>
        <w:tc>
          <w:tcPr>
            <w:tcW w:w="1200" w:type="dxa"/>
            <w:vAlign w:val="bottom"/>
          </w:tcPr>
          <w:p>
            <w:pPr>
              <w:jc w:val="center"/>
              <w:spacing w:after="0"/>
              <w:rPr>
                <w:rFonts w:ascii="Times New Roman" w:cs="Times New Roman" w:eastAsia="Times New Roman" w:hAnsi="Times New Roman"/>
                <w:sz w:val="18"/>
                <w:szCs w:val="18"/>
                <w:color w:val="auto"/>
                <w:w w:val="95"/>
              </w:rPr>
            </w:pPr>
            <w:hyperlink r:id="rId229">
              <w:r>
                <w:rPr>
                  <w:rFonts w:ascii="Times New Roman" w:cs="Times New Roman" w:eastAsia="Times New Roman" w:hAnsi="Times New Roman"/>
                  <w:sz w:val="18"/>
                  <w:szCs w:val="18"/>
                  <w:color w:val="auto"/>
                  <w:w w:val="95"/>
                </w:rPr>
                <w:t>19.1</w:t>
              </w:r>
            </w:hyperlink>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Bioventus Inc. Insider Trading Policy, dated as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29">
              <w:r>
                <w:rPr>
                  <w:rFonts w:ascii="Times New Roman" w:cs="Times New Roman" w:eastAsia="Times New Roman" w:hAnsi="Times New Roman"/>
                  <w:sz w:val="18"/>
                  <w:szCs w:val="18"/>
                  <w:color w:val="auto"/>
                </w:rPr>
                <w:t>February 10, 2021</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92"/>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Listing of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Grant Thornton LLP (Bioventus Inc.).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pursuant to Rules 13a-14(a)/15d-14(a)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under the Securities Exchange Act of 1934, as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62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32</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r>
      <w:tr>
        <w:trPr>
          <w:trHeight w:val="190"/>
        </w:trPr>
        <w:tc>
          <w:tcPr>
            <w:tcW w:w="38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7"/>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9"/>
        </w:trPr>
        <w:tc>
          <w:tcPr>
            <w:tcW w:w="37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Certification of President and Chief Financial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599"/>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3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Officer pursuant to Rules 13a-14(a)/15d-14(a)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3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under the Securities Exchange Act of 1934, as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Officer and Chief Financial Officer pursuant to 18</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38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U.S.C. Section 1350, as adopted pursuant to</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5"/>
        </w:trPr>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Bioventus Inc. Compensation Recovery Policy,</w:t>
              </w:r>
            </w:hyperlink>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001-37844</w:t>
            </w:r>
          </w:p>
        </w:tc>
        <w:tc>
          <w:tcPr>
            <w:tcW w:w="80" w:type="dxa"/>
            <w:vAlign w:val="bottom"/>
          </w:tcPr>
          <w:p>
            <w:pPr>
              <w:spacing w:after="0"/>
              <w:rPr>
                <w:sz w:val="19"/>
                <w:szCs w:val="19"/>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3/12/2024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3820" w:type="dxa"/>
            <w:vAlign w:val="bottom"/>
            <w:gridSpan w:val="2"/>
          </w:tcPr>
          <w:p>
            <w:pPr>
              <w:ind w:left="20"/>
              <w:spacing w:after="0"/>
              <w:rPr>
                <w:rFonts w:ascii="Times New Roman" w:cs="Times New Roman" w:eastAsia="Times New Roman" w:hAnsi="Times New Roman"/>
                <w:sz w:val="18"/>
                <w:szCs w:val="18"/>
                <w:color w:val="auto"/>
              </w:rPr>
            </w:pPr>
            <w:hyperlink r:id="rId232">
              <w:r>
                <w:rPr>
                  <w:rFonts w:ascii="Times New Roman" w:cs="Times New Roman" w:eastAsia="Times New Roman" w:hAnsi="Times New Roman"/>
                  <w:sz w:val="18"/>
                  <w:szCs w:val="18"/>
                  <w:color w:val="auto"/>
                </w:rPr>
                <w:t>dated September 7, 2023.</w:t>
              </w:r>
            </w:hyperlink>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31" w:lineRule="exact"/>
        <w:rPr>
          <w:sz w:val="20"/>
          <w:szCs w:val="20"/>
          <w:color w:val="auto"/>
        </w:rPr>
      </w:pPr>
    </w:p>
    <w:p>
      <w:pPr>
        <w:sectPr>
          <w:pgSz w:w="11900" w:h="16838" w:orient="portrait"/>
          <w:cols w:equalWidth="0" w:num="2">
            <w:col w:w="940" w:space="360"/>
            <w:col w:w="9940"/>
          </w:cols>
          <w:pgMar w:left="320" w:top="121" w:right="339" w:bottom="1440" w:gutter="0" w:footer="0" w:header="0"/>
          <w:type w:val="continuous"/>
        </w:sectPr>
      </w:pPr>
    </w:p>
    <w:tbl>
      <w:tblPr>
        <w:tblLayout w:type="fixed"/>
        <w:tblInd w:w="280" w:type="dxa"/>
        <w:tblCellMar>
          <w:top w:w="0" w:type="dxa"/>
          <w:left w:w="0" w:type="dxa"/>
          <w:bottom w:w="0" w:type="dxa"/>
          <w:right w:w="0" w:type="dxa"/>
        </w:tblCellMar>
      </w:tblPr>
      <w:tr>
        <w:trPr>
          <w:trHeight w:val="207"/>
        </w:trPr>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99.1</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 of patents and pending patent applications</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directed to Bioventus Inc.’s material products.</w:t>
            </w:r>
          </w:p>
        </w:tc>
        <w:tc>
          <w:tcPr>
            <w:tcW w:w="2980" w:type="dxa"/>
            <w:vAlign w:val="bottom"/>
          </w:tcPr>
          <w:p>
            <w:pPr>
              <w:spacing w:after="0"/>
              <w:rPr>
                <w:sz w:val="20"/>
                <w:szCs w:val="20"/>
                <w:color w:val="auto"/>
              </w:rPr>
            </w:pPr>
          </w:p>
        </w:tc>
      </w:tr>
      <w:tr>
        <w:trPr>
          <w:trHeight w:val="2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101.INS</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184"/>
        </w:trPr>
        <w:tc>
          <w:tcPr>
            <w:tcW w:w="860" w:type="dxa"/>
            <w:vAlign w:val="bottom"/>
          </w:tcPr>
          <w:p>
            <w:pPr>
              <w:spacing w:after="0"/>
              <w:rPr>
                <w:sz w:val="16"/>
                <w:szCs w:val="16"/>
                <w:color w:val="auto"/>
              </w:rPr>
            </w:pPr>
          </w:p>
        </w:tc>
        <w:tc>
          <w:tcPr>
            <w:tcW w:w="65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2980" w:type="dxa"/>
            <w:vAlign w:val="bottom"/>
          </w:tcPr>
          <w:p>
            <w:pPr>
              <w:spacing w:after="0"/>
              <w:rPr>
                <w:sz w:val="16"/>
                <w:szCs w:val="16"/>
                <w:color w:val="auto"/>
              </w:rPr>
            </w:pPr>
          </w:p>
        </w:tc>
      </w:tr>
      <w:tr>
        <w:trPr>
          <w:trHeight w:val="180"/>
        </w:trPr>
        <w:tc>
          <w:tcPr>
            <w:tcW w:w="860" w:type="dxa"/>
            <w:vAlign w:val="bottom"/>
          </w:tcPr>
          <w:p>
            <w:pPr>
              <w:spacing w:after="0"/>
              <w:rPr>
                <w:sz w:val="15"/>
                <w:szCs w:val="15"/>
                <w:color w:val="auto"/>
              </w:rPr>
            </w:pPr>
          </w:p>
        </w:tc>
        <w:tc>
          <w:tcPr>
            <w:tcW w:w="65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2980" w:type="dxa"/>
            <w:vAlign w:val="bottom"/>
          </w:tcPr>
          <w:p>
            <w:pPr>
              <w:spacing w:after="0"/>
              <w:rPr>
                <w:sz w:val="15"/>
                <w:szCs w:val="15"/>
                <w:color w:val="auto"/>
              </w:rPr>
            </w:pP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Inline XBRL document.</w:t>
            </w:r>
          </w:p>
        </w:tc>
        <w:tc>
          <w:tcPr>
            <w:tcW w:w="2980" w:type="dxa"/>
            <w:vAlign w:val="bottom"/>
          </w:tcPr>
          <w:p>
            <w:pPr>
              <w:spacing w:after="0"/>
              <w:rPr>
                <w:sz w:val="20"/>
                <w:szCs w:val="20"/>
                <w:color w:val="auto"/>
              </w:rPr>
            </w:pPr>
          </w:p>
        </w:tc>
      </w:tr>
      <w:tr>
        <w:trPr>
          <w:trHeight w:val="225"/>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980" w:type="dxa"/>
            <w:vAlign w:val="bottom"/>
          </w:tcPr>
          <w:p>
            <w:pPr>
              <w:spacing w:after="0"/>
              <w:rPr>
                <w:sz w:val="20"/>
                <w:szCs w:val="20"/>
                <w:color w:val="auto"/>
              </w:rPr>
            </w:pPr>
          </w:p>
        </w:tc>
      </w:tr>
      <w:tr>
        <w:trPr>
          <w:trHeight w:val="2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101.CAL</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c>
          <w:tcPr>
            <w:tcW w:w="2980" w:type="dxa"/>
            <w:vAlign w:val="bottom"/>
          </w:tcPr>
          <w:p>
            <w:pPr>
              <w:spacing w:after="0"/>
              <w:rPr>
                <w:sz w:val="20"/>
                <w:szCs w:val="20"/>
                <w:color w:val="auto"/>
              </w:rPr>
            </w:pPr>
          </w:p>
        </w:tc>
      </w:tr>
      <w:tr>
        <w:trPr>
          <w:trHeight w:val="2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Extension Definition Linkbase</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2980" w:type="dxa"/>
            <w:vAlign w:val="bottom"/>
          </w:tcPr>
          <w:p>
            <w:pPr>
              <w:spacing w:after="0"/>
              <w:rPr>
                <w:sz w:val="20"/>
                <w:szCs w:val="20"/>
                <w:color w:val="auto"/>
              </w:rPr>
            </w:pPr>
          </w:p>
        </w:tc>
      </w:tr>
      <w:tr>
        <w:trPr>
          <w:trHeight w:val="2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101.LAB</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c>
          <w:tcPr>
            <w:tcW w:w="2980" w:type="dxa"/>
            <w:vAlign w:val="bottom"/>
          </w:tcPr>
          <w:p>
            <w:pPr>
              <w:spacing w:after="0"/>
              <w:rPr>
                <w:sz w:val="20"/>
                <w:szCs w:val="20"/>
                <w:color w:val="auto"/>
              </w:rPr>
            </w:pPr>
          </w:p>
        </w:tc>
      </w:tr>
      <w:tr>
        <w:trPr>
          <w:trHeight w:val="238"/>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101.PRE</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86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w:t>
            </w:r>
          </w:p>
        </w:tc>
        <w:tc>
          <w:tcPr>
            <w:tcW w:w="2980" w:type="dxa"/>
            <w:vAlign w:val="bottom"/>
          </w:tcPr>
          <w:p>
            <w:pPr>
              <w:spacing w:after="0"/>
              <w:rPr>
                <w:sz w:val="20"/>
                <w:szCs w:val="20"/>
                <w:color w:val="auto"/>
              </w:rPr>
            </w:pPr>
          </w:p>
        </w:tc>
      </w:tr>
      <w:tr>
        <w:trPr>
          <w:trHeight w:val="238"/>
        </w:trPr>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29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6"/>
              </w:rPr>
              <w:t>***</w:t>
            </w:r>
          </w:p>
        </w:tc>
      </w:tr>
      <w:tr>
        <w:trPr>
          <w:trHeight w:val="204"/>
        </w:trPr>
        <w:tc>
          <w:tcPr>
            <w:tcW w:w="860" w:type="dxa"/>
            <w:vAlign w:val="bottom"/>
          </w:tcPr>
          <w:p>
            <w:pPr>
              <w:spacing w:after="0"/>
              <w:rPr>
                <w:sz w:val="17"/>
                <w:szCs w:val="17"/>
                <w:color w:val="auto"/>
              </w:rPr>
            </w:pPr>
          </w:p>
        </w:tc>
        <w:tc>
          <w:tcPr>
            <w:tcW w:w="652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2980" w:type="dxa"/>
            <w:vAlign w:val="bottom"/>
          </w:tcPr>
          <w:p>
            <w:pPr>
              <w:spacing w:after="0"/>
              <w:rPr>
                <w:sz w:val="17"/>
                <w:szCs w:val="17"/>
                <w:color w:val="auto"/>
              </w:rPr>
            </w:pPr>
          </w:p>
        </w:tc>
      </w:tr>
    </w:tbl>
    <w:p>
      <w:pPr>
        <w:ind w:left="1320"/>
        <w:spacing w:after="0"/>
        <w:rPr>
          <w:sz w:val="20"/>
          <w:szCs w:val="20"/>
          <w:color w:val="auto"/>
        </w:rPr>
      </w:pPr>
      <w:r>
        <w:rPr>
          <w:rFonts w:ascii="Times New Roman" w:cs="Times New Roman" w:eastAsia="Times New Roman" w:hAnsi="Times New Roman"/>
          <w:sz w:val="18"/>
          <w:szCs w:val="18"/>
          <w:color w:val="auto"/>
        </w:rPr>
        <w:t>document contained in Exhibit 10.</w:t>
      </w:r>
    </w:p>
    <w:p>
      <w:pPr>
        <w:spacing w:after="0" w:line="19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9" w:lineRule="exact"/>
        <w:rPr>
          <w:sz w:val="20"/>
          <w:szCs w:val="20"/>
          <w:color w:val="auto"/>
        </w:rPr>
      </w:pPr>
    </w:p>
    <w:p>
      <w:pPr>
        <w:ind w:right="4100" w:firstLine="8"/>
        <w:spacing w:after="0" w:line="260" w:lineRule="auto"/>
        <w:tabs>
          <w:tab w:leader="none" w:pos="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Regulation S-K, Item (601)(b)(10). ^ Indicates management contract or compensatory plan.</w:t>
      </w:r>
    </w:p>
    <w:p>
      <w:pPr>
        <w:spacing w:after="0" w:line="71" w:lineRule="exact"/>
        <w:rPr>
          <w:rFonts w:ascii="Times New Roman" w:cs="Times New Roman" w:eastAsia="Times New Roman" w:hAnsi="Times New Roman"/>
          <w:sz w:val="18"/>
          <w:szCs w:val="18"/>
          <w:color w:val="auto"/>
        </w:rPr>
      </w:pPr>
    </w:p>
    <w:p>
      <w:pPr>
        <w:ind w:left="660" w:right="280" w:hanging="328"/>
        <w:spacing w:after="0" w:line="267" w:lineRule="auto"/>
        <w:tabs>
          <w:tab w:leader="none" w:pos="65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Schedules for which provision is made in the applicable accounting regulation of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Commission have been omitted because they are not applicable, not required or the information required is given in the Consolidated Financial Statements and notes thereto set forth above under </w:t>
      </w:r>
      <w:r>
        <w:rPr>
          <w:rFonts w:ascii="Times New Roman" w:cs="Times New Roman" w:eastAsia="Times New Roman" w:hAnsi="Times New Roman"/>
          <w:sz w:val="18"/>
          <w:szCs w:val="18"/>
          <w:i w:val="1"/>
          <w:iCs w:val="1"/>
          <w:color w:val="auto"/>
        </w:rPr>
        <w:t>Part II, Item 8. Financial Statements and Supplemental Data</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1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BIOVENTUS INC.</w:t>
      </w:r>
    </w:p>
    <w:p>
      <w:pPr>
        <w:spacing w:after="0" w:line="279" w:lineRule="exact"/>
        <w:rPr>
          <w:sz w:val="20"/>
          <w:szCs w:val="20"/>
          <w:color w:val="auto"/>
        </w:rPr>
      </w:pPr>
    </w:p>
    <w:tbl>
      <w:tblPr>
        <w:tblLayout w:type="fixed"/>
        <w:tblInd w:w="616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w:t>
            </w: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218"/>
        </w:trPr>
        <w:tc>
          <w:tcPr>
            <w:tcW w:w="42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9"/>
        </w:trPr>
        <w:tc>
          <w:tcPr>
            <w:tcW w:w="420" w:type="dxa"/>
            <w:vAlign w:val="bottom"/>
          </w:tcPr>
          <w:p>
            <w:pPr>
              <w:spacing w:after="0"/>
              <w:rPr>
                <w:sz w:val="16"/>
                <w:szCs w:val="16"/>
                <w:color w:val="auto"/>
              </w:rPr>
            </w:pPr>
          </w:p>
        </w:tc>
        <w:tc>
          <w:tcPr>
            <w:tcW w:w="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ind w:left="20"/>
        <w:spacing w:after="0"/>
        <w:rPr>
          <w:sz w:val="20"/>
          <w:szCs w:val="20"/>
          <w:color w:val="auto"/>
        </w:rPr>
      </w:pPr>
      <w:r>
        <w:rPr>
          <w:rFonts w:ascii="Times New Roman" w:cs="Times New Roman" w:eastAsia="Times New Roman" w:hAnsi="Times New Roman"/>
          <w:sz w:val="18"/>
          <w:szCs w:val="18"/>
          <w:color w:val="auto"/>
        </w:rPr>
        <w:t>March 5, 2026</w:t>
      </w:r>
    </w:p>
    <w:p>
      <w:pPr>
        <w:sectPr>
          <w:pgSz w:w="11900" w:h="16838" w:orient="portrait"/>
          <w:cols w:equalWidth="0" w:num="1">
            <w:col w:w="11240"/>
          </w:cols>
          <w:pgMar w:left="320" w:top="121" w:right="339" w:bottom="6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23"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22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Robert E. Claypoole</w:t>
            </w:r>
          </w:p>
        </w:tc>
        <w:tc>
          <w:tcPr>
            <w:tcW w:w="100" w:type="dxa"/>
            <w:vAlign w:val="bottom"/>
          </w:tcPr>
          <w:p>
            <w:pPr>
              <w:spacing w:after="0"/>
              <w:rPr>
                <w:sz w:val="24"/>
                <w:szCs w:val="24"/>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7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Robert E. Claypoole</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Mark L. Singleton</w:t>
            </w:r>
          </w:p>
        </w:tc>
        <w:tc>
          <w:tcPr>
            <w:tcW w:w="100" w:type="dxa"/>
            <w:vAlign w:val="bottom"/>
          </w:tcPr>
          <w:p>
            <w:pPr>
              <w:spacing w:after="0"/>
              <w:rPr>
                <w:sz w:val="24"/>
                <w:szCs w:val="24"/>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7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 Hawkins III</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Bartholdson</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Bartholdson</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J. Beyer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G. Cowdy</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G. Cowdy</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Ajay Dhankhar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Dhankhar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Kay Ladone</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Kay Ladone</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McMurry-Heath</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McMurry-Heath</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Guido J. Neels</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Guido J. Neels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Guy P. Nohra</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Guy P. Nohra</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Stalnecker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M. Stalnecker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P. Sutter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21"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AWARD GRANT NOTICE</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Bioventus,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individual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Restricted Stock Units set forth below (the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The PRSUs are subject to the terms and conditions set forth in this Performance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the Restricted Stock Unit Agreement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each of which is incorporated herein by reference. Capitalized terms used in this Grant Notice or in the Agreement which are not explicitly defined herein will have the meaning ascribed to them in the Plan.</w:t>
      </w:r>
    </w:p>
    <w:p>
      <w:pPr>
        <w:sectPr>
          <w:pgSz w:w="11900" w:h="16838" w:orient="portrait"/>
          <w:cols w:equalWidth="0" w:num="1">
            <w:col w:w="11240"/>
          </w:cols>
          <w:pgMar w:left="320" w:top="1409" w:right="339" w:bottom="1440" w:gutter="0" w:footer="0" w:header="0"/>
        </w:sect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Target Number of PRSUs:</w:t>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Max Number of PRSUs:</w:t>
      </w: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20" w:hanging="111"/>
        <w:spacing w:after="0"/>
        <w:tabs>
          <w:tab w:leader="none" w:pos="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175" w:lineRule="exact"/>
        <w:rPr>
          <w:rFonts w:ascii="Times New Roman" w:cs="Times New Roman" w:eastAsia="Times New Roman" w:hAnsi="Times New Roman"/>
          <w:sz w:val="20"/>
          <w:szCs w:val="20"/>
          <w:color w:val="auto"/>
        </w:rPr>
      </w:pPr>
    </w:p>
    <w:p>
      <w:pPr>
        <w:ind w:left="120" w:hanging="111"/>
        <w:spacing w:after="0"/>
        <w:tabs>
          <w:tab w:leader="none" w:pos="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69" w:lineRule="exact"/>
        <w:rPr>
          <w:rFonts w:ascii="Times New Roman" w:cs="Times New Roman" w:eastAsia="Times New Roman" w:hAnsi="Times New Roman"/>
          <w:sz w:val="20"/>
          <w:szCs w:val="20"/>
          <w:color w:val="auto"/>
        </w:rPr>
      </w:pPr>
    </w:p>
    <w:p>
      <w:pPr>
        <w:ind w:left="120" w:hanging="111"/>
        <w:spacing w:after="0"/>
        <w:tabs>
          <w:tab w:leader="none" w:pos="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69" w:lineRule="exact"/>
        <w:rPr>
          <w:rFonts w:ascii="Times New Roman" w:cs="Times New Roman" w:eastAsia="Times New Roman" w:hAnsi="Times New Roman"/>
          <w:sz w:val="20"/>
          <w:szCs w:val="20"/>
          <w:color w:val="auto"/>
        </w:rPr>
      </w:pPr>
    </w:p>
    <w:p>
      <w:pPr>
        <w:ind w:left="120" w:hanging="111"/>
        <w:spacing w:after="0"/>
        <w:tabs>
          <w:tab w:leader="none" w:pos="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7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20"/>
          <w:szCs w:val="20"/>
          <w:color w:val="auto"/>
        </w:rPr>
        <w:t xml:space="preserve">This PRSU award will vest in accordance with the vesting schedule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Notwithstanding the foregoing, vesting shall terminate upon the Participant’s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31115</wp:posOffset>
            </wp:positionV>
            <wp:extent cx="6969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820"/>
          </w:cols>
          <w:pgMar w:left="320" w:top="1409" w:right="339" w:bottom="1440" w:gutter="0" w:footer="0" w:header="0"/>
          <w:type w:val="continuous"/>
        </w:sectPr>
      </w:pP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Tax Withholding Obligations: </w:t>
      </w:r>
      <w:r>
        <w:rPr>
          <w:rFonts w:ascii="Times New Roman" w:cs="Times New Roman" w:eastAsia="Times New Roman" w:hAnsi="Times New Roman"/>
          <w:sz w:val="20"/>
          <w:szCs w:val="20"/>
          <w:color w:val="auto"/>
        </w:rPr>
        <w:t>Participant understands that, at the time the PRSUs become vested and/or the underlying Shares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distributed, the Company may be required to withhold federal, state and local income and employment taxes. As described in more detail in Section 2.5 of the Agreement, the Administrator may, in its sole discretion, satisfy such tax withholding obligations by effecting either (i) a net settlement, where the Company withholds Shares otherwise deliverable to the Participant equal in value to the applicable tax withholding obligations, or (ii) a sell to cover transaction, where the Company arranges for the sale, by a broker of the Company’s choosing, of such number of Shares otherwise deliverable to the Participant equal in value to the tax obligation required to be withheld (plus any applicable broker commission). Participant expressly authorizes the Company to use either such method of satisfying the applicable tax withholding obligations, as determined by the Administrator in its discretion.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accepting this Award electronically pursuant to the Company’s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and interpretations of the Administrator upon any questions arising under the Plan, the Grant Notice or the Agreement.</w:t>
      </w:r>
    </w:p>
    <w:p>
      <w:pPr>
        <w:sectPr>
          <w:pgSz w:w="11900" w:h="16838" w:orient="portrait"/>
          <w:cols w:equalWidth="0" w:num="1">
            <w:col w:w="11240"/>
          </w:cols>
          <w:pgMar w:left="320" w:top="1409" w:right="339" w:bottom="1440" w:gutter="0" w:footer="0" w:header="0"/>
          <w:type w:val="continuous"/>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TO PERFORMANCE RESTRICTED STOCK UNIT AWARD GRANT NOTICE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VESTING CRITERIA</w:t>
      </w:r>
    </w:p>
    <w:p>
      <w:pPr>
        <w:sectPr>
          <w:pgSz w:w="11900" w:h="16838" w:orient="portrait"/>
          <w:cols w:equalWidth="0" w:num="1">
            <w:col w:w="9019"/>
          </w:cols>
          <w:pgMar w:left="1440" w:top="1422"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TO PERFORMANCE RESTRICTED STOCK UNIT AWARD GRANT NOTICE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AWARD AGREEMENT</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PRSUs set forth in the Grant Notice.</w:t>
      </w:r>
    </w:p>
    <w:p>
      <w:pPr>
        <w:spacing w:after="0" w:line="2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1.1</w:t>
      </w:r>
      <w:r>
        <w:rPr>
          <w:sz w:val="20"/>
          <w:szCs w:val="20"/>
          <w:color w:val="auto"/>
        </w:rPr>
        <w:tab/>
      </w:r>
      <w:r>
        <w:rPr>
          <w:rFonts w:ascii="Times New Roman" w:cs="Times New Roman" w:eastAsia="Times New Roman" w:hAnsi="Times New Roman"/>
          <w:sz w:val="19"/>
          <w:szCs w:val="19"/>
          <w:u w:val="single" w:color="auto"/>
          <w:color w:val="auto"/>
        </w:rPr>
        <w:t>Incorporation of Terms of Plan</w:t>
      </w:r>
      <w:r>
        <w:rPr>
          <w:rFonts w:ascii="Times New Roman" w:cs="Times New Roman" w:eastAsia="Times New Roman" w:hAnsi="Times New Roman"/>
          <w:sz w:val="19"/>
          <w:szCs w:val="19"/>
          <w:color w:val="auto"/>
        </w:rPr>
        <w:t>. The PRSUs and the Shares (if any) issued to Participant hereunder are subject to the</w:t>
      </w:r>
    </w:p>
    <w:p>
      <w:pPr>
        <w:spacing w:after="0" w:line="221" w:lineRule="auto"/>
        <w:rPr>
          <w:sz w:val="20"/>
          <w:szCs w:val="20"/>
          <w:color w:val="auto"/>
        </w:rPr>
      </w:pPr>
      <w:r>
        <w:rPr>
          <w:rFonts w:ascii="Times New Roman" w:cs="Times New Roman" w:eastAsia="Times New Roman" w:hAnsi="Times New Roman"/>
          <w:sz w:val="20"/>
          <w:szCs w:val="20"/>
          <w:color w:val="auto"/>
        </w:rPr>
        <w:t>terms and conditions set forth in this Agreement and the Plan, which is incorporated herein by reference. In the event of any inconsistency between the Plan and this Agreement, the terms of the Plan shall control.</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AWARD OF PERFORMANCE RESTRICTED STOCK UNITS</w:t>
      </w:r>
    </w:p>
    <w:p>
      <w:pPr>
        <w:spacing w:after="0" w:line="9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2.1</w:t>
      </w:r>
      <w:r>
        <w:rPr>
          <w:sz w:val="20"/>
          <w:szCs w:val="20"/>
          <w:color w:val="auto"/>
        </w:rPr>
        <w:tab/>
      </w:r>
      <w:r>
        <w:rPr>
          <w:rFonts w:ascii="Times New Roman" w:cs="Times New Roman" w:eastAsia="Times New Roman" w:hAnsi="Times New Roman"/>
          <w:sz w:val="19"/>
          <w:szCs w:val="19"/>
          <w:u w:val="single" w:color="auto"/>
          <w:color w:val="auto"/>
        </w:rPr>
        <w:t>Award of PRSUs</w:t>
      </w:r>
    </w:p>
    <w:p>
      <w:pPr>
        <w:spacing w:after="0" w:line="189" w:lineRule="exact"/>
        <w:rPr>
          <w:sz w:val="20"/>
          <w:szCs w:val="20"/>
          <w:color w:val="auto"/>
        </w:rPr>
      </w:pPr>
    </w:p>
    <w:p>
      <w:pPr>
        <w:jc w:val="both"/>
        <w:ind w:firstLine="1304"/>
        <w:spacing w:after="0" w:line="215"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a Participating Company and for other good and valuable consideration, effective as of the grant date as set forth on the Grant Notice, the Company has granted to Participant the number of PRSUs set forth in the Grant Notice, upon the terms and conditions set forth in the Grant Notice, the Plan and this Agreement, subject to adjustment as provided in Section 12.2 of the Plan. Each PRSU represents the right to receive one Share at the times and subject to the conditions set forth herein. However, unless and until the PRSUs have vested, Participant will have no right to the payment of any Shares subject thereto. Prior to the actual delivery of any Shares, the PRSUs will represent an unsecured obligation of the Company, payable only from the general assets of the Company.</w:t>
      </w:r>
    </w:p>
    <w:p>
      <w:pPr>
        <w:spacing w:after="0" w:line="15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auto"/>
        </w:rPr>
        <w:t>Section 2.2 Vesting of PRSUs</w:t>
      </w:r>
      <w:r>
        <w:rPr>
          <w:rFonts w:ascii="Times New Roman" w:cs="Times New Roman" w:eastAsia="Times New Roman" w:hAnsi="Times New Roman"/>
          <w:sz w:val="20"/>
          <w:szCs w:val="20"/>
          <w:color w:val="auto"/>
        </w:rPr>
        <w:t>. Subject to Participant’s continued employment with or service to a Participating Company on the Certification Date and subject to the terms of this Agreement and the Grant Notice, the PRSUs shall vest in such amounts and at such times as are set forth in the Grant Notice.</w:t>
      </w:r>
    </w:p>
    <w:p>
      <w:pPr>
        <w:spacing w:after="0" w:line="149" w:lineRule="exact"/>
        <w:rPr>
          <w:sz w:val="20"/>
          <w:szCs w:val="20"/>
          <w:color w:val="auto"/>
        </w:rPr>
      </w:pPr>
    </w:p>
    <w:p>
      <w:pPr>
        <w:jc w:val="both"/>
        <w:ind w:right="20" w:firstLine="648"/>
        <w:spacing w:after="0" w:line="234" w:lineRule="auto"/>
        <w:rPr>
          <w:sz w:val="20"/>
          <w:szCs w:val="20"/>
          <w:color w:val="auto"/>
        </w:rPr>
      </w:pPr>
      <w:r>
        <w:rPr>
          <w:rFonts w:ascii="Times New Roman" w:cs="Times New Roman" w:eastAsia="Times New Roman" w:hAnsi="Times New Roman"/>
          <w:sz w:val="19"/>
          <w:szCs w:val="19"/>
          <w:u w:val="single" w:color="auto"/>
          <w:color w:val="auto"/>
        </w:rPr>
        <w:t>Section 2.3 Distribution or Payment of PRSUs</w:t>
      </w:r>
      <w:r>
        <w:rPr>
          <w:rFonts w:ascii="Times New Roman" w:cs="Times New Roman" w:eastAsia="Times New Roman" w:hAnsi="Times New Roman"/>
          <w:sz w:val="19"/>
          <w:szCs w:val="19"/>
          <w:color w:val="auto"/>
        </w:rPr>
        <w:t>. Participant’s PRSUs that become vested shall be distributed in Shares (either in book-entry form or otherwise) on or within two business days following the Certification Date. Notwithstanding the foregoing, the Company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may delay a distribution or payment in settlement of PRSUs if it reasonably determines that such payment or distribution will violate federal securities laws or any other Applicable Law,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distribution or payment shall be made at the earliest date at which the</w:t>
      </w:r>
    </w:p>
    <w:p>
      <w:pPr>
        <w:spacing w:after="0" w:line="211" w:lineRule="auto"/>
        <w:rPr>
          <w:sz w:val="20"/>
          <w:szCs w:val="20"/>
          <w:color w:val="auto"/>
        </w:rPr>
      </w:pPr>
      <w:r>
        <w:rPr>
          <w:rFonts w:ascii="Times New Roman" w:cs="Times New Roman" w:eastAsia="Times New Roman" w:hAnsi="Times New Roman"/>
          <w:sz w:val="20"/>
          <w:szCs w:val="20"/>
          <w:color w:val="auto"/>
        </w:rPr>
        <w:t>Company reasonably determines that the making of such distribution or payment will not cause such violation, as required by Treasury</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if such delay will result in a violation of Section 409A. All distributions shall be made by the Company in the form of whole Shares.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2.4</w:t>
      </w:r>
      <w:r>
        <w:rPr>
          <w:sz w:val="20"/>
          <w:szCs w:val="20"/>
          <w:color w:val="auto"/>
        </w:rPr>
        <w:tab/>
      </w:r>
      <w:r>
        <w:rPr>
          <w:rFonts w:ascii="Times New Roman" w:cs="Times New Roman" w:eastAsia="Times New Roman" w:hAnsi="Times New Roman"/>
          <w:sz w:val="20"/>
          <w:szCs w:val="20"/>
          <w:u w:val="single" w:color="auto"/>
          <w:color w:val="auto"/>
        </w:rPr>
        <w:t>Conditions to Issuance of Certificates</w:t>
      </w:r>
      <w:r>
        <w:rPr>
          <w:rFonts w:ascii="Times New Roman" w:cs="Times New Roman" w:eastAsia="Times New Roman" w:hAnsi="Times New Roman"/>
          <w:sz w:val="20"/>
          <w:szCs w:val="20"/>
          <w:color w:val="auto"/>
        </w:rPr>
        <w:t>. The Company shall not be required to issue or deliver any certificate or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certificates for any Shares or to cause any Shares to be held in book-entry form prior to the fulfillment of all of the following conditions: (a) the admission of the Shares to listing on all stock exchanges on which such Shares are then listed, (b) the completion of any registration</w:t>
      </w:r>
    </w:p>
    <w:p>
      <w:pPr>
        <w:sectPr>
          <w:pgSz w:w="11900" w:h="16838" w:orient="portrait"/>
          <w:cols w:equalWidth="0" w:num="1">
            <w:col w:w="11240"/>
          </w:cols>
          <w:pgMar w:left="320" w:top="140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color w:val="auto"/>
        </w:rPr>
        <w:t>or other qualification of the Shares under any state or federal law or under rulings or regulations of the Securities and Exchange Commission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other governmental regulatory body, which the Administrator shall, in its absolute discretion, deem necessary or advisable, (c) the obtaining of any approval or other clearance from any state or federal governmental agency that the Administrator shall, in its absolute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discretion, determine to be necessary or advisable, and (d) the receipt of full payment of any applicable withholding tax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by the Participating Company with respect to which the applicable withholding obligation arises.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189" w:lineRule="exact"/>
        <w:rPr>
          <w:sz w:val="20"/>
          <w:szCs w:val="20"/>
          <w:color w:val="auto"/>
        </w:rPr>
      </w:pPr>
    </w:p>
    <w:p>
      <w:pPr>
        <w:jc w:val="both"/>
        <w:ind w:firstLine="1466"/>
        <w:spacing w:after="0" w:line="216"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PRSUs. To satisfy such tax withholding obligations, the Company may elect, in its sole discretion, to effect either a net settlement (as described in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below) or a sell to cover transaction (as described in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 xml:space="preserve"> below). Participant expressly authorizes the Company to use either such method of satisfying the applicable tax withholding obligations, as determined by the Administrator in its discretion.</w:t>
      </w:r>
    </w:p>
    <w:p>
      <w:pPr>
        <w:spacing w:after="0" w:line="162" w:lineRule="exact"/>
        <w:rPr>
          <w:rFonts w:ascii="Times New Roman" w:cs="Times New Roman" w:eastAsia="Times New Roman" w:hAnsi="Times New Roman"/>
          <w:sz w:val="20"/>
          <w:szCs w:val="20"/>
          <w:color w:val="auto"/>
        </w:rPr>
      </w:pPr>
    </w:p>
    <w:p>
      <w:pPr>
        <w:jc w:val="both"/>
        <w:ind w:firstLine="1466"/>
        <w:spacing w:after="0" w:line="226"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elects to use a net settlement to satisfy applicable tax withholding obligations, the Company will withhold Shares otherwise deliverable to the Participant equal in value to the applicable tax withholding obligations, remit the corresponding cash value to the applicable taxing authorities, and deliver the remaining net Shares to the Participant.</w:t>
      </w:r>
    </w:p>
    <w:p>
      <w:pPr>
        <w:spacing w:after="0" w:line="160" w:lineRule="exact"/>
        <w:rPr>
          <w:rFonts w:ascii="Times New Roman" w:cs="Times New Roman" w:eastAsia="Times New Roman" w:hAnsi="Times New Roman"/>
          <w:sz w:val="20"/>
          <w:szCs w:val="20"/>
          <w:color w:val="auto"/>
        </w:rPr>
      </w:pPr>
    </w:p>
    <w:p>
      <w:pPr>
        <w:ind w:right="20" w:firstLine="1466"/>
        <w:spacing w:after="0" w:line="266" w:lineRule="auto"/>
        <w:tabs>
          <w:tab w:leader="none" w:pos="193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Company does not elect to use a net settlement to satisfy applicable tax withholding obligations, the Company will effect a sell to cover transaction in accordance with this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The Participant therefore irrevocably agrees as follows:</w:t>
      </w:r>
    </w:p>
    <w:p>
      <w:pPr>
        <w:spacing w:after="0" w:line="123" w:lineRule="exact"/>
        <w:rPr>
          <w:rFonts w:ascii="Times New Roman" w:cs="Times New Roman" w:eastAsia="Times New Roman" w:hAnsi="Times New Roman"/>
          <w:sz w:val="19"/>
          <w:szCs w:val="19"/>
          <w:color w:val="auto"/>
        </w:rPr>
      </w:pPr>
    </w:p>
    <w:p>
      <w:pPr>
        <w:jc w:val="both"/>
        <w:ind w:left="660" w:firstLine="1454"/>
        <w:spacing w:after="0" w:line="215" w:lineRule="auto"/>
        <w:tabs>
          <w:tab w:leader="none" w:pos="260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appoints the Company’s transfer agent (together with any other party the Company determines necessary to execute the sell to cover transaction,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as the Participant’s agent and authorizes the Agent to (1) sell on the open market at the then prevailing market price(s), on the Participant’s behalf, as soon as practicable on or after the Shares are issued upon the vesting of the PRSUs,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such funds to the applicable fees and commissions due to, or required to be collected by, the Agent with respect thereto and then remit the remaining funds to the Company for delivery to the applicable taxing authorities.</w:t>
      </w:r>
    </w:p>
    <w:p>
      <w:pPr>
        <w:spacing w:after="0" w:line="147" w:lineRule="exact"/>
        <w:rPr>
          <w:rFonts w:ascii="Times New Roman" w:cs="Times New Roman" w:eastAsia="Times New Roman" w:hAnsi="Times New Roman"/>
          <w:sz w:val="20"/>
          <w:szCs w:val="20"/>
          <w:color w:val="auto"/>
        </w:rPr>
      </w:pPr>
    </w:p>
    <w:p>
      <w:pPr>
        <w:ind w:left="660" w:right="20" w:firstLine="1454"/>
        <w:spacing w:after="0"/>
        <w:tabs>
          <w:tab w:leader="none" w:pos="2603"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authorizes the Company and the Agent to cooperate and communicate with one another to determine the number of Shares that must be sold pursuant to subsection (i) above.</w:t>
      </w:r>
    </w:p>
    <w:p>
      <w:pPr>
        <w:spacing w:after="0" w:line="161" w:lineRule="exact"/>
        <w:rPr>
          <w:rFonts w:ascii="Times New Roman" w:cs="Times New Roman" w:eastAsia="Times New Roman" w:hAnsi="Times New Roman"/>
          <w:sz w:val="20"/>
          <w:szCs w:val="20"/>
          <w:color w:val="auto"/>
        </w:rPr>
      </w:pPr>
    </w:p>
    <w:p>
      <w:pPr>
        <w:jc w:val="both"/>
        <w:ind w:left="660" w:firstLine="1454"/>
        <w:spacing w:after="0" w:line="212" w:lineRule="auto"/>
        <w:tabs>
          <w:tab w:leader="none" w:pos="260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ectPr>
          <w:pgSz w:w="11900" w:h="16838" w:orient="portrait"/>
          <w:cols w:equalWidth="0" w:num="1">
            <w:col w:w="11240"/>
          </w:cols>
          <w:pgMar w:left="320" w:top="1399" w:right="339" w:bottom="1440" w:gutter="0" w:footer="0" w:header="0"/>
        </w:sectPr>
      </w:pPr>
    </w:p>
    <w:bookmarkStart w:id="149" w:name="page150"/>
    <w:bookmarkEnd w:id="149"/>
    <w:p>
      <w:pPr>
        <w:jc w:val="both"/>
        <w:ind w:left="660" w:firstLine="1454"/>
        <w:spacing w:after="0" w:line="222" w:lineRule="auto"/>
        <w:tabs>
          <w:tab w:leader="none" w:pos="25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acknowledges that regardless of any other term or condition of this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61" w:lineRule="exact"/>
        <w:rPr>
          <w:rFonts w:ascii="Times New Roman" w:cs="Times New Roman" w:eastAsia="Times New Roman" w:hAnsi="Times New Roman"/>
          <w:sz w:val="20"/>
          <w:szCs w:val="20"/>
          <w:color w:val="auto"/>
        </w:rPr>
      </w:pPr>
    </w:p>
    <w:p>
      <w:pPr>
        <w:jc w:val="both"/>
        <w:ind w:left="660" w:firstLine="1460"/>
        <w:spacing w:after="0" w:line="226" w:lineRule="auto"/>
        <w:tabs>
          <w:tab w:leader="none" w:pos="259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hereby agrees to execute and deliver to the Agent any other agreements or documents as the Agent reasonably deems necessary or appropriate to carry out the purposes and intent of this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 xml:space="preserve">. The Agent is a third-party beneficiary of this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deliver any certificate representing Shares issuable with respect to the PRSUs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PRSUs or any other taxable event related to the PRSUs.</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PRSUs, regardless of any action the Company or any other Participating Company takes with respect to any tax withholding obligations that arise in connection with the PRSUs. No Participating Company makes any representation or undertaking regarding the treatment of any tax withholding in connection with the awarding, vesting or payment of the PRSUs or the subsequent sale of Shares. The Participating Companies do not commit and are under no obligation to structure the PRSUs to reduce or eliminate Participant’s tax liability.</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2.6</w:t>
      </w:r>
      <w:r>
        <w:rPr>
          <w:sz w:val="20"/>
          <w:szCs w:val="20"/>
          <w:color w:val="auto"/>
        </w:rPr>
        <w:tab/>
      </w: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Neither Participant nor any Person claiming under or through Participant will have any of the</w:t>
      </w:r>
    </w:p>
    <w:p>
      <w:pPr>
        <w:spacing w:after="0" w:line="204" w:lineRule="auto"/>
        <w:rPr>
          <w:sz w:val="20"/>
          <w:szCs w:val="20"/>
          <w:color w:val="auto"/>
        </w:rPr>
      </w:pPr>
      <w:r>
        <w:rPr>
          <w:rFonts w:ascii="Times New Roman" w:cs="Times New Roman" w:eastAsia="Times New Roman" w:hAnsi="Times New Roman"/>
          <w:sz w:val="20"/>
          <w:szCs w:val="20"/>
          <w:color w:val="auto"/>
        </w:rPr>
        <w:t>rights or privileges of a stockholder of the Company in respect of any Shares deliverable hereunder unless and until certificates representing such Shares (which may be in book-entry form) will have been issued and recorded on the records of the Company or its transfer agents or</w:t>
      </w:r>
    </w:p>
    <w:p>
      <w:pPr>
        <w:spacing w:after="0" w:line="211" w:lineRule="auto"/>
        <w:rPr>
          <w:sz w:val="20"/>
          <w:szCs w:val="20"/>
          <w:color w:val="auto"/>
        </w:rPr>
      </w:pPr>
      <w:r>
        <w:rPr>
          <w:rFonts w:ascii="Times New Roman" w:cs="Times New Roman" w:eastAsia="Times New Roman" w:hAnsi="Times New Roman"/>
          <w:sz w:val="20"/>
          <w:szCs w:val="20"/>
          <w:color w:val="auto"/>
        </w:rPr>
        <w:t>registrars and delivered to Participant (including through electronic delivery to a brokerage account). Except as otherwise provided herein,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after such issuance, recordation and delivery, Participant will have all the rights of a stockholder of the Company with respect to such Shares, including, without limitation, the right to receipt of dividends and distributions on such Shares.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2.7</w:t>
      </w:r>
      <w:r>
        <w:rPr>
          <w:sz w:val="20"/>
          <w:szCs w:val="20"/>
          <w:color w:val="auto"/>
        </w:rPr>
        <w:tab/>
      </w:r>
      <w:r>
        <w:rPr>
          <w:rFonts w:ascii="Times New Roman" w:cs="Times New Roman" w:eastAsia="Times New Roman" w:hAnsi="Times New Roman"/>
          <w:sz w:val="20"/>
          <w:szCs w:val="20"/>
          <w:u w:val="single" w:color="auto"/>
          <w:color w:val="auto"/>
        </w:rPr>
        <w:t>Restrictive Covenants; Forfeiture</w:t>
      </w:r>
      <w:r>
        <w:rPr>
          <w:rFonts w:ascii="Times New Roman" w:cs="Times New Roman" w:eastAsia="Times New Roman" w:hAnsi="Times New Roman"/>
          <w:sz w:val="20"/>
          <w:szCs w:val="20"/>
          <w:color w:val="auto"/>
        </w:rPr>
        <w:t>. Notwithstanding anything contained in this Agreement to the contrary, in the</w:t>
      </w:r>
    </w:p>
    <w:p>
      <w:pPr>
        <w:spacing w:after="0" w:line="204" w:lineRule="auto"/>
        <w:rPr>
          <w:sz w:val="20"/>
          <w:szCs w:val="20"/>
          <w:color w:val="auto"/>
        </w:rPr>
      </w:pPr>
      <w:r>
        <w:rPr>
          <w:rFonts w:ascii="Times New Roman" w:cs="Times New Roman" w:eastAsia="Times New Roman" w:hAnsi="Times New Roman"/>
          <w:sz w:val="20"/>
          <w:szCs w:val="20"/>
          <w:color w:val="auto"/>
        </w:rPr>
        <w:t>event the Participant breaches his or her Proprietary Information, Inventions, Non-Solicitation, and Non-Competition Agreement or Restrictive Covenant Agreement, as applicable, or any other written agreement between the Participant and any Participating Company, in</w:t>
      </w:r>
    </w:p>
    <w:p>
      <w:pPr>
        <w:spacing w:after="0" w:line="211" w:lineRule="auto"/>
        <w:rPr>
          <w:sz w:val="20"/>
          <w:szCs w:val="20"/>
          <w:color w:val="auto"/>
        </w:rPr>
      </w:pPr>
      <w:r>
        <w:rPr>
          <w:rFonts w:ascii="Times New Roman" w:cs="Times New Roman" w:eastAsia="Times New Roman" w:hAnsi="Times New Roman"/>
          <w:sz w:val="20"/>
          <w:szCs w:val="20"/>
          <w:color w:val="auto"/>
        </w:rPr>
        <w:t>addition to any other damages available at law or in equity, then, (i) any portion of the Award that has not been distributed to the Participant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prior to the date of such violation shall thereupon be forfeited and (ii) the Participant shall be required to pay to the Company the amount of all PRSU Gain (as defined below). “</w:t>
      </w:r>
      <w:r>
        <w:rPr>
          <w:rFonts w:ascii="Times New Roman" w:cs="Times New Roman" w:eastAsia="Times New Roman" w:hAnsi="Times New Roman"/>
          <w:sz w:val="20"/>
          <w:szCs w:val="20"/>
          <w:u w:val="single" w:color="auto"/>
          <w:color w:val="auto"/>
        </w:rPr>
        <w:t>PRSU Gain</w:t>
      </w:r>
      <w:r>
        <w:rPr>
          <w:rFonts w:ascii="Times New Roman" w:cs="Times New Roman" w:eastAsia="Times New Roman" w:hAnsi="Times New Roman"/>
          <w:sz w:val="20"/>
          <w:szCs w:val="20"/>
          <w:color w:val="auto"/>
        </w:rPr>
        <w:t>” shall mean an amount equal to the product of (i) the number of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are distributed pursuant to this PRSU Award and (ii) the Fair Market Value per share of Common Stock on the date of such distribution.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OTHER PROVISIONS</w:t>
      </w:r>
    </w:p>
    <w:p>
      <w:pPr>
        <w:spacing w:after="0" w:line="9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4.1 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w:t>
      </w:r>
    </w:p>
    <w:p>
      <w:pPr>
        <w:spacing w:after="0" w:line="212" w:lineRule="auto"/>
        <w:rPr>
          <w:sz w:val="20"/>
          <w:szCs w:val="20"/>
          <w:color w:val="auto"/>
        </w:rPr>
      </w:pPr>
      <w:r>
        <w:rPr>
          <w:rFonts w:ascii="Times New Roman" w:cs="Times New Roman" w:eastAsia="Times New Roman" w:hAnsi="Times New Roman"/>
          <w:sz w:val="20"/>
          <w:szCs w:val="20"/>
          <w:color w:val="auto"/>
        </w:rPr>
        <w:t>consistent therewith and to interpret, amend or revoke any such rules. All actions taken and all interpretations and determinations made by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Administrator will be final and binding upon Participant, the Company and all other interested Persons. To the extent allowable pursuant to Applicable Law, no member of the Committee or the Board will be</w:t>
      </w:r>
    </w:p>
    <w:p>
      <w:pPr>
        <w:sectPr>
          <w:pgSz w:w="11900" w:h="16838" w:orient="portrait"/>
          <w:cols w:equalWidth="0" w:num="1">
            <w:col w:w="11240"/>
          </w:cols>
          <w:pgMar w:left="320" w:top="139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personally liable for any action, determination or interpretation made with respect to the Plan, the Grant Notice or this Agreement.</w:t>
      </w:r>
    </w:p>
    <w:p>
      <w:pPr>
        <w:spacing w:after="0" w:line="189"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4.2 PRSUs Not Transferable</w:t>
      </w:r>
      <w:r>
        <w:rPr>
          <w:rFonts w:ascii="Times New Roman" w:cs="Times New Roman" w:eastAsia="Times New Roman" w:hAnsi="Times New Roman"/>
          <w:sz w:val="19"/>
          <w:szCs w:val="19"/>
          <w:color w:val="auto"/>
        </w:rPr>
        <w:t>. The PRSUs may not be sold, pledged, assigned or transferred in any manner other than by will or the laws of descent and distribution, unless and until the Shares underlying the PRSUs have been issued, and all restrictions applicable</w:t>
      </w:r>
    </w:p>
    <w:p>
      <w:pPr>
        <w:spacing w:after="0" w:line="222" w:lineRule="auto"/>
        <w:rPr>
          <w:sz w:val="20"/>
          <w:szCs w:val="20"/>
          <w:color w:val="auto"/>
        </w:rPr>
      </w:pPr>
      <w:r>
        <w:rPr>
          <w:rFonts w:ascii="Times New Roman" w:cs="Times New Roman" w:eastAsia="Times New Roman" w:hAnsi="Times New Roman"/>
          <w:sz w:val="19"/>
          <w:szCs w:val="19"/>
          <w:color w:val="auto"/>
        </w:rPr>
        <w:t>to such Shares have lapsed. No PRSUs or any interest or right therein or part thereof shall be liable for the debts, contracts or engagements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Participant or his or her successors in interest or shall be subject to disposition by transfer, alienation, anticipation, pledge, encumbrance, assignment or any other means whether such disposition be voluntary or involuntary or by operation of law by judgment, levy, attachment,</w:t>
      </w:r>
    </w:p>
    <w:p>
      <w:pPr>
        <w:spacing w:after="0" w:line="211" w:lineRule="auto"/>
        <w:rPr>
          <w:sz w:val="20"/>
          <w:szCs w:val="20"/>
          <w:color w:val="auto"/>
        </w:rPr>
      </w:pPr>
      <w:r>
        <w:rPr>
          <w:rFonts w:ascii="Times New Roman" w:cs="Times New Roman" w:eastAsia="Times New Roman" w:hAnsi="Times New Roman"/>
          <w:sz w:val="20"/>
          <w:szCs w:val="20"/>
          <w:color w:val="auto"/>
        </w:rPr>
        <w:t>garnishment or any other legal or equitable proceedings (including bankruptcy), and any attempted disposition thereof shall be null and void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of no effect, except to the extent that such disposition is permitted by the preceding sentence. Notwithstanding the foregoing, with the consent of the Administrator, the PRSUs may be transferred to Permitted Transferees, pursuant to any such conditions and procedures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 may require.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4.3 Adjustments</w:t>
      </w:r>
      <w:r>
        <w:rPr>
          <w:rFonts w:ascii="Times New Roman" w:cs="Times New Roman" w:eastAsia="Times New Roman" w:hAnsi="Times New Roman"/>
          <w:sz w:val="20"/>
          <w:szCs w:val="20"/>
          <w:color w:val="auto"/>
        </w:rPr>
        <w:t>. The Administrator may accelerate the vesting of all or a portion of the PRSUs in such circumstances as it, in its sole discretion, may determine. Participant acknowledges that the PRSUs and the Shares subject to the PRSUs are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adjustment, modification and termination in certain events as provided in this Agreement and the Plan, including Section 12.2 of the Plan.</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4.4 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addressed to Participant at Participant’s last address reflected on the Company’s records. By a notice given pursuant to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either</w:t>
      </w:r>
    </w:p>
    <w:p>
      <w:pPr>
        <w:spacing w:after="0" w:line="204" w:lineRule="auto"/>
        <w:rPr>
          <w:sz w:val="20"/>
          <w:szCs w:val="20"/>
          <w:color w:val="auto"/>
        </w:rPr>
      </w:pPr>
      <w:r>
        <w:rPr>
          <w:rFonts w:ascii="Times New Roman" w:cs="Times New Roman" w:eastAsia="Times New Roman" w:hAnsi="Times New Roman"/>
          <w:sz w:val="20"/>
          <w:szCs w:val="20"/>
          <w:color w:val="auto"/>
        </w:rPr>
        <w:t>party may hereafter designate a different address for notices to be given to that party. Any notice shall be deemed duly given when sent via email or when sent by certified mail (return receipt requested) and deposited (with postage prepaid) in a post office or branch post office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regularly maintained by the United States Postal Service or similar foreign entity.</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Section 4.5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u w:val="single" w:color="auto"/>
          <w:color w:val="auto"/>
        </w:rPr>
        <w:t>Section 4.6 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4.7</w:t>
      </w:r>
      <w:r>
        <w:rPr>
          <w:sz w:val="20"/>
          <w:szCs w:val="20"/>
          <w:color w:val="auto"/>
        </w:rPr>
        <w:tab/>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w:t>
      </w:r>
    </w:p>
    <w:p>
      <w:pPr>
        <w:spacing w:after="0" w:line="204" w:lineRule="auto"/>
        <w:rPr>
          <w:sz w:val="20"/>
          <w:szCs w:val="20"/>
          <w:color w:val="auto"/>
        </w:rPr>
      </w:pPr>
      <w:r>
        <w:rPr>
          <w:rFonts w:ascii="Times New Roman" w:cs="Times New Roman" w:eastAsia="Times New Roman" w:hAnsi="Times New Roman"/>
          <w:sz w:val="20"/>
          <w:szCs w:val="20"/>
          <w:color w:val="auto"/>
        </w:rPr>
        <w:t>intended to conform to the extent necessary with all Applicable Laws, including, without limitation, the provisions of the Securities Act and the Exchange Act, and any and all regulations and rules promulgated thereunder by the Securities and Exchange Commission, and state</w:t>
      </w:r>
    </w:p>
    <w:p>
      <w:pPr>
        <w:spacing w:after="0" w:line="211" w:lineRule="auto"/>
        <w:rPr>
          <w:sz w:val="20"/>
          <w:szCs w:val="20"/>
          <w:color w:val="auto"/>
        </w:rPr>
      </w:pPr>
      <w:r>
        <w:rPr>
          <w:rFonts w:ascii="Times New Roman" w:cs="Times New Roman" w:eastAsia="Times New Roman" w:hAnsi="Times New Roman"/>
          <w:sz w:val="20"/>
          <w:szCs w:val="20"/>
          <w:color w:val="auto"/>
        </w:rPr>
        <w:t>securities laws and regulations. Notwithstanding anything herein to the contrary, the Plan shall be administered, and the PRSUs are granted,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only in such a manner as to conform to Applicable Law. To the extent permitted by Applicable Law, the Plan, the Grant Notice and this Agreement, shall be deemed amended to the extent necessary to conform to Applicable Law.</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4.8</w:t>
      </w:r>
      <w:r>
        <w:rPr>
          <w:sz w:val="20"/>
          <w:szCs w:val="20"/>
          <w:color w:val="auto"/>
        </w:rPr>
        <w:tab/>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w:t>
      </w:r>
    </w:p>
    <w:p>
      <w:pPr>
        <w:spacing w:after="0" w:line="204" w:lineRule="auto"/>
        <w:rPr>
          <w:sz w:val="20"/>
          <w:szCs w:val="20"/>
          <w:color w:val="auto"/>
        </w:rPr>
      </w:pPr>
      <w:r>
        <w:rPr>
          <w:rFonts w:ascii="Times New Roman" w:cs="Times New Roman" w:eastAsia="Times New Roman" w:hAnsi="Times New Roman"/>
          <w:sz w:val="20"/>
          <w:szCs w:val="20"/>
          <w:color w:val="auto"/>
        </w:rPr>
        <w:t>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adversely affect the PRSUs in any material way without the prior written consent of Participant.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4.9 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the Plan, this Agreement shall be binding upon and inure to the benefit of the heirs, legatees, legal representatives, successors and assigns of the parties hereto.</w:t>
      </w:r>
    </w:p>
    <w:p>
      <w:pPr>
        <w:sectPr>
          <w:pgSz w:w="11900" w:h="16838" w:orient="portrait"/>
          <w:cols w:equalWidth="0" w:num="1">
            <w:col w:w="11240"/>
          </w:cols>
          <w:pgMar w:left="320" w:top="1399" w:right="339" w:bottom="1440" w:gutter="0" w:footer="0" w:header="0"/>
        </w:sectPr>
      </w:pPr>
    </w:p>
    <w:bookmarkStart w:id="151" w:name="page152"/>
    <w:bookmarkEnd w:id="151"/>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4.10</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 Plan, the PRSUs, the Grant Notice and this Agreement shall be subject to any additional limitations set forth in any applicable exemptive rule under Section 16 of the Exchange Act (including any amendment to Rule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4.11 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any Participating Company or shall interfere with or restrict in any way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rights of any Participating Company, which rights are hereby expressly reserved, to discharge or terminate the services of Participant at any time for any reason whatsoever, with or without cause, except to the extent (i) expressly provided otherwise in a written agreement between a</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Participating Company and Participant or (ii) where such provisions are not consistent with applicable foreign or local laws, in which case such applicable foreign or local laws shall control.</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auto"/>
        </w:rPr>
        <w:t>Section 4.12 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u w:val="single" w:color="auto"/>
          <w:color w:val="auto"/>
        </w:rPr>
        <w:t>Section 4.13 Section 409A</w:t>
      </w:r>
      <w:r>
        <w:rPr>
          <w:rFonts w:ascii="Times New Roman" w:cs="Times New Roman" w:eastAsia="Times New Roman" w:hAnsi="Times New Roman"/>
          <w:sz w:val="20"/>
          <w:szCs w:val="20"/>
          <w:color w:val="auto"/>
        </w:rPr>
        <w:t>. The intent of the parties is that the payments and benefits under this Agreement comply with or be exempt from Section 409A and, accordingly, to the maximum extent permitted, this Agreement shall be interpreted to be so exempt or in compliance therewith.</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4.14</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w:t>
      </w:r>
    </w:p>
    <w:p>
      <w:pPr>
        <w:jc w:val="both"/>
        <w:spacing w:after="0" w:line="221" w:lineRule="auto"/>
        <w:rPr>
          <w:sz w:val="20"/>
          <w:szCs w:val="20"/>
          <w:color w:val="auto"/>
        </w:rPr>
      </w:pPr>
      <w:r>
        <w:rPr>
          <w:rFonts w:ascii="Times New Roman" w:cs="Times New Roman" w:eastAsia="Times New Roman" w:hAnsi="Times New Roman"/>
          <w:sz w:val="20"/>
          <w:szCs w:val="20"/>
          <w:color w:val="auto"/>
        </w:rPr>
        <w:t>unenforceable, such provision will be severable from, and such invalidity or enforceability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4.15</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w:t>
      </w:r>
    </w:p>
    <w:p>
      <w:pPr>
        <w:jc w:val="both"/>
        <w:spacing w:after="0" w:line="215" w:lineRule="auto"/>
        <w:rPr>
          <w:sz w:val="20"/>
          <w:szCs w:val="20"/>
          <w:color w:val="auto"/>
        </w:rPr>
      </w:pPr>
      <w:r>
        <w:rPr>
          <w:rFonts w:ascii="Times New Roman" w:cs="Times New Roman" w:eastAsia="Times New Roman" w:hAnsi="Times New Roman"/>
          <w:sz w:val="19"/>
          <w:szCs w:val="19"/>
          <w:color w:val="auto"/>
        </w:rPr>
        <w:t>provided. This Agreement creates only a contractual obligation on the part of the Company as to amounts payable and shall not be construed as creating a trust. Neither the Plan nor any underlying program, in and of itself, has any assets. Participant shall have only the rights of a</w:t>
      </w:r>
    </w:p>
    <w:p>
      <w:pPr>
        <w:spacing w:after="0"/>
        <w:rPr>
          <w:sz w:val="20"/>
          <w:szCs w:val="20"/>
          <w:color w:val="auto"/>
        </w:rPr>
      </w:pPr>
      <w:r>
        <w:rPr>
          <w:rFonts w:ascii="Times New Roman" w:cs="Times New Roman" w:eastAsia="Times New Roman" w:hAnsi="Times New Roman"/>
          <w:sz w:val="20"/>
          <w:szCs w:val="20"/>
          <w:color w:val="auto"/>
        </w:rPr>
        <w:t>general unsecured creditor of the Company with respect to amounts credited and benefits payable, if any, with respect to the PRSUs.</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u w:val="single" w:color="auto"/>
          <w:color w:val="auto"/>
        </w:rPr>
        <w:t>Section 4.16 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ectPr>
          <w:pgSz w:w="11900" w:h="16838" w:orient="portrait"/>
          <w:cols w:equalWidth="0" w:num="1">
            <w:col w:w="11240"/>
          </w:cols>
          <w:pgMar w:left="320" w:top="139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[Bioventus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__,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[Email Address]</w:t>
      </w:r>
    </w:p>
    <w:p>
      <w:pPr>
        <w:spacing w:after="0" w:line="200" w:lineRule="exact"/>
        <w:rPr>
          <w:sz w:val="20"/>
          <w:szCs w:val="20"/>
          <w:color w:val="auto"/>
        </w:rPr>
      </w:pPr>
    </w:p>
    <w:p>
      <w:pPr>
        <w:spacing w:after="0" w:line="264" w:lineRule="exact"/>
        <w:rPr>
          <w:sz w:val="20"/>
          <w:szCs w:val="20"/>
          <w:color w:val="auto"/>
        </w:rPr>
      </w:pPr>
    </w:p>
    <w:p>
      <w:pPr>
        <w:ind w:right="4880"/>
        <w:spacing w:after="0" w:line="269" w:lineRule="auto"/>
        <w:rPr>
          <w:sz w:val="20"/>
          <w:szCs w:val="20"/>
          <w:color w:val="auto"/>
        </w:rPr>
      </w:pPr>
      <w:r>
        <w:rPr>
          <w:rFonts w:ascii="Times New Roman" w:cs="Times New Roman" w:eastAsia="Times New Roman" w:hAnsi="Times New Roman"/>
          <w:sz w:val="20"/>
          <w:szCs w:val="20"/>
          <w:color w:val="auto"/>
        </w:rPr>
        <w:t>Re: Amendment to Restricted Stock Unit Award Agreements and Grant Notices Dear [Name],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you know, you were previously granted one or more awards of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0"/>
          <w:szCs w:val="20"/>
          <w:color w:val="auto"/>
        </w:rPr>
        <w:t>”) by Bioventus Inc.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pursuant to one or more Restricted Stock Unit Award Agreements (each an “</w:t>
      </w:r>
      <w:r>
        <w:rPr>
          <w:rFonts w:ascii="Times New Roman" w:cs="Times New Roman" w:eastAsia="Times New Roman" w:hAnsi="Times New Roman"/>
          <w:sz w:val="21"/>
          <w:szCs w:val="21"/>
          <w:b w:val="1"/>
          <w:bCs w:val="1"/>
          <w:i w:val="1"/>
          <w:iCs w:val="1"/>
          <w:color w:val="auto"/>
        </w:rPr>
        <w:t>RSU Award Agreement</w:t>
      </w:r>
      <w:r>
        <w:rPr>
          <w:rFonts w:ascii="Times New Roman" w:cs="Times New Roman" w:eastAsia="Times New Roman" w:hAnsi="Times New Roman"/>
          <w:sz w:val="20"/>
          <w:szCs w:val="20"/>
          <w:color w:val="auto"/>
        </w:rPr>
        <w:t>”) and accompanying</w:t>
      </w:r>
    </w:p>
    <w:p>
      <w:pPr>
        <w:spacing w:after="0"/>
        <w:rPr>
          <w:sz w:val="20"/>
          <w:szCs w:val="20"/>
          <w:color w:val="auto"/>
        </w:rPr>
      </w:pPr>
      <w:r>
        <w:rPr>
          <w:rFonts w:ascii="Times New Roman" w:cs="Times New Roman" w:eastAsia="Times New Roman" w:hAnsi="Times New Roman"/>
          <w:sz w:val="20"/>
          <w:szCs w:val="20"/>
          <w:color w:val="auto"/>
        </w:rPr>
        <w:t>Grant Notice.</w:t>
      </w:r>
    </w:p>
    <w:p>
      <w:pPr>
        <w:spacing w:after="0" w:line="22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Under each of your RSU Award Agreement(s) and Grant Notice(s) issued before March 2025, when your RSUs vest, applicable tax withholding obligations may only be satisfied through a “sell to cover” transaction. The Company has decided to amend each of your pre-March 2025 RSU Award Agreement(s) and Grant Notice(s) to permit the Company to satisfy its applicable tax withholding obligations using either a “sell to cover” transaction or a net settlement (whereby a number of shares equal in value to the required tax withholdings are retained by the Company, and the net number of shares is issued to you upon vesting). With these changes, the terms of your pre-March 2025 RSU Award Agreement(s) and Grant Notice(s) will be in line with the RSU Award Agreement(s) and Grant Notice(s) used for awards made beginning in March 2025.</w:t>
      </w:r>
    </w:p>
    <w:p>
      <w:pPr>
        <w:spacing w:after="0" w:line="219" w:lineRule="exact"/>
        <w:rPr>
          <w:sz w:val="20"/>
          <w:szCs w:val="20"/>
          <w:color w:val="auto"/>
        </w:rPr>
      </w:pPr>
    </w:p>
    <w:p>
      <w:pPr>
        <w:ind w:right="340" w:firstLine="648"/>
        <w:spacing w:after="0" w:line="255" w:lineRule="auto"/>
        <w:rPr>
          <w:sz w:val="20"/>
          <w:szCs w:val="20"/>
          <w:color w:val="auto"/>
        </w:rPr>
      </w:pPr>
      <w:r>
        <w:rPr>
          <w:rFonts w:ascii="Times New Roman" w:cs="Times New Roman" w:eastAsia="Times New Roman" w:hAnsi="Times New Roman"/>
          <w:sz w:val="20"/>
          <w:szCs w:val="20"/>
          <w:color w:val="auto"/>
        </w:rPr>
        <w:t>Effective as of the date of this letter, each of your pre-March 2025 RSU Award Agreements is amended as follows. Section 2.5 is deleted in its entirety and replaced with the following: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 Tax Withholding</w:t>
      </w:r>
      <w:r>
        <w:rPr>
          <w:rFonts w:ascii="Times New Roman" w:cs="Times New Roman" w:eastAsia="Times New Roman" w:hAnsi="Times New Roman"/>
          <w:sz w:val="20"/>
          <w:szCs w:val="20"/>
          <w:color w:val="auto"/>
        </w:rPr>
        <w:t>. Notwithstanding any other provision of this Agreement:</w:t>
      </w:r>
    </w:p>
    <w:p>
      <w:pPr>
        <w:spacing w:after="0" w:line="243" w:lineRule="exact"/>
        <w:rPr>
          <w:sz w:val="20"/>
          <w:szCs w:val="20"/>
          <w:color w:val="auto"/>
        </w:rPr>
      </w:pPr>
    </w:p>
    <w:p>
      <w:pPr>
        <w:ind w:left="660" w:hanging="328"/>
        <w:spacing w:after="0" w:line="238" w:lineRule="auto"/>
        <w:tabs>
          <w:tab w:leader="none" w:pos="65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RSUs. To satisfy such tax withholding obligations, the Company may elect, in its sole discretion, to effect either a net settlement (as described in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0"/>
          <w:szCs w:val="20"/>
          <w:color w:val="auto"/>
        </w:rPr>
        <w:t xml:space="preserve"> below) or a sell to cover transaction (as described in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 xml:space="preserve"> below). Participant expressly authorizes the Company to use either such method of satisfying the applicable tax withholding obligations, as determined by the Administrator in its discretion.</w:t>
      </w:r>
    </w:p>
    <w:p>
      <w:pPr>
        <w:spacing w:after="0" w:line="201" w:lineRule="exact"/>
        <w:rPr>
          <w:rFonts w:ascii="Arial" w:cs="Arial" w:eastAsia="Arial" w:hAnsi="Arial"/>
          <w:sz w:val="18"/>
          <w:szCs w:val="18"/>
          <w:color w:val="auto"/>
        </w:rPr>
      </w:pPr>
    </w:p>
    <w:p>
      <w:pPr>
        <w:jc w:val="both"/>
        <w:ind w:left="660" w:right="320" w:hanging="328"/>
        <w:spacing w:after="0" w:line="247" w:lineRule="auto"/>
        <w:tabs>
          <w:tab w:leader="none" w:pos="65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0"/>
          <w:szCs w:val="20"/>
          <w:color w:val="auto"/>
        </w:rPr>
        <w:t>If the Company elects to use a net settlement to satisfy applicable tax withholding obligations, the Company will withhold Shares otherwise deliverable to the Participant equal in value to the applicable tax withholding obligations, remit the corresponding cash value to the applicable taxing authorities, and deliver the remaining net Shares to the Participant.</w:t>
      </w:r>
    </w:p>
    <w:p>
      <w:pPr>
        <w:spacing w:after="0" w:line="207" w:lineRule="exact"/>
        <w:rPr>
          <w:rFonts w:ascii="Arial" w:cs="Arial" w:eastAsia="Arial" w:hAnsi="Arial"/>
          <w:sz w:val="18"/>
          <w:szCs w:val="18"/>
          <w:color w:val="auto"/>
        </w:rPr>
      </w:pPr>
    </w:p>
    <w:p>
      <w:pPr>
        <w:ind w:left="660" w:right="60" w:hanging="328"/>
        <w:spacing w:after="0" w:line="275" w:lineRule="auto"/>
        <w:tabs>
          <w:tab w:leader="none" w:pos="654"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If the Company does not elect to use a net settlement to satisfy applicable tax withholding obligations, the Company will effect a sell to cover transaction in accordance with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 The Participant therefore irrevocably agrees as follows:</w:t>
      </w:r>
    </w:p>
    <w:p>
      <w:pPr>
        <w:spacing w:after="0" w:line="175" w:lineRule="exact"/>
        <w:rPr>
          <w:rFonts w:ascii="Arial" w:cs="Arial" w:eastAsia="Arial" w:hAnsi="Arial"/>
          <w:sz w:val="18"/>
          <w:szCs w:val="18"/>
          <w:color w:val="auto"/>
        </w:rPr>
      </w:pPr>
    </w:p>
    <w:p>
      <w:pPr>
        <w:ind w:left="1300" w:right="60" w:hanging="320"/>
        <w:spacing w:after="0"/>
        <w:tabs>
          <w:tab w:leader="none" w:pos="1298" w:val="left"/>
        </w:tabs>
        <w:numPr>
          <w:ilvl w:val="1"/>
          <w:numId w:val="70"/>
        </w:numPr>
        <w:rPr>
          <w:rFonts w:ascii="Arial" w:cs="Arial" w:eastAsia="Arial" w:hAnsi="Arial"/>
          <w:sz w:val="18"/>
          <w:szCs w:val="18"/>
          <w:color w:val="auto"/>
        </w:rPr>
      </w:pPr>
      <w:r>
        <w:rPr>
          <w:rFonts w:ascii="Times New Roman" w:cs="Times New Roman" w:eastAsia="Times New Roman" w:hAnsi="Times New Roman"/>
          <w:sz w:val="20"/>
          <w:szCs w:val="20"/>
          <w:color w:val="auto"/>
        </w:rPr>
        <w:t>The Participant hereby appoints the Company’s transfer agent (together with any other party the Company determines necessary to execute the sell to cover transaction,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0"/>
          <w:szCs w:val="20"/>
          <w:color w:val="auto"/>
        </w:rPr>
        <w:t>”) as the Participant’s agent and authorizes the Agent to (1) sell on the open market at the then prevailing market price(s), on the Participant’s behalf, as soon as practicable on or after the Shares are issued upon the vesting of the RSUs, that number (rounded up to the next whole number) of the Shares so issued necessary to generate proceeds to cover (x) any tax withholding obligations incurred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20" w:top="118"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[Bioventus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9"/>
          <w:szCs w:val="19"/>
          <w:color w:val="auto"/>
        </w:rPr>
        <w:t>vesting or issuance and (y) all applicable fees and commissions due to, or required to be collected by, the Agent with respect thereto, and (2) apply such funds to the applicable fees and commissions due to, or required to be collected by, the Agent with respect thereto and then remit the remaining funds to the Company for delivery to the applicable taxing authorities.</w:t>
      </w:r>
    </w:p>
    <w:p>
      <w:pPr>
        <w:spacing w:after="0" w:line="178" w:lineRule="exact"/>
        <w:rPr>
          <w:sz w:val="20"/>
          <w:szCs w:val="20"/>
          <w:color w:val="auto"/>
        </w:rPr>
      </w:pPr>
    </w:p>
    <w:p>
      <w:pPr>
        <w:ind w:left="1300" w:right="100" w:hanging="320"/>
        <w:spacing w:after="0" w:line="269" w:lineRule="auto"/>
        <w:tabs>
          <w:tab w:leader="none" w:pos="1297"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0"/>
          <w:szCs w:val="20"/>
          <w:color w:val="auto"/>
        </w:rPr>
        <w:t>The Participant hereby authorizes the Company and the Agent to cooperate and communicate with one another to determine the number of Shares that must be sold pursuant to subsection (i) above.</w:t>
      </w:r>
    </w:p>
    <w:p>
      <w:pPr>
        <w:spacing w:after="0" w:line="186" w:lineRule="exact"/>
        <w:rPr>
          <w:rFonts w:ascii="Arial" w:cs="Arial" w:eastAsia="Arial" w:hAnsi="Arial"/>
          <w:sz w:val="18"/>
          <w:szCs w:val="18"/>
          <w:color w:val="auto"/>
        </w:rPr>
      </w:pPr>
    </w:p>
    <w:p>
      <w:pPr>
        <w:ind w:left="1300" w:right="80" w:hanging="320"/>
        <w:spacing w:after="0" w:line="248" w:lineRule="auto"/>
        <w:tabs>
          <w:tab w:leader="none" w:pos="1297" w:val="left"/>
        </w:tabs>
        <w:numPr>
          <w:ilvl w:val="0"/>
          <w:numId w:val="71"/>
        </w:numPr>
        <w:rPr>
          <w:rFonts w:ascii="Arial" w:cs="Arial" w:eastAsia="Arial" w:hAnsi="Arial"/>
          <w:sz w:val="17"/>
          <w:szCs w:val="17"/>
          <w:color w:val="auto"/>
        </w:rPr>
      </w:pPr>
      <w:r>
        <w:rPr>
          <w:rFonts w:ascii="Times New Roman" w:cs="Times New Roman" w:eastAsia="Times New Roman" w:hAnsi="Times New Roman"/>
          <w:sz w:val="19"/>
          <w:szCs w:val="19"/>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194" w:lineRule="exact"/>
        <w:rPr>
          <w:rFonts w:ascii="Arial" w:cs="Arial" w:eastAsia="Arial" w:hAnsi="Arial"/>
          <w:sz w:val="17"/>
          <w:szCs w:val="17"/>
          <w:color w:val="auto"/>
        </w:rPr>
      </w:pPr>
    </w:p>
    <w:p>
      <w:pPr>
        <w:ind w:left="1300" w:right="120" w:hanging="320"/>
        <w:spacing w:after="0" w:line="246" w:lineRule="auto"/>
        <w:tabs>
          <w:tab w:leader="none" w:pos="1293"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The Participant acknowledges that regardless of any other term or condition of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210" w:lineRule="exact"/>
        <w:rPr>
          <w:rFonts w:ascii="Arial" w:cs="Arial" w:eastAsia="Arial" w:hAnsi="Arial"/>
          <w:sz w:val="18"/>
          <w:szCs w:val="18"/>
          <w:color w:val="auto"/>
        </w:rPr>
      </w:pPr>
    </w:p>
    <w:p>
      <w:pPr>
        <w:ind w:left="1300" w:right="140" w:hanging="320"/>
        <w:spacing w:after="0" w:line="252" w:lineRule="auto"/>
        <w:tabs>
          <w:tab w:leader="none" w:pos="1294"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The Participant hereby agrees to execute and deliver to the Agent any other agreements or documents as the Agent reasonably deems necessary or appropriate to carry out the purposes and intent of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 xml:space="preserve">. The Agent is a third-party beneficiary of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w:t>
      </w:r>
    </w:p>
    <w:p>
      <w:pPr>
        <w:spacing w:after="0" w:line="191" w:lineRule="exact"/>
        <w:rPr>
          <w:rFonts w:ascii="Arial" w:cs="Arial" w:eastAsia="Arial" w:hAnsi="Arial"/>
          <w:sz w:val="18"/>
          <w:szCs w:val="18"/>
          <w:color w:val="auto"/>
        </w:rPr>
      </w:pPr>
    </w:p>
    <w:p>
      <w:pPr>
        <w:ind w:left="1300" w:right="380" w:hanging="320"/>
        <w:spacing w:after="0" w:line="276" w:lineRule="auto"/>
        <w:tabs>
          <w:tab w:leader="none" w:pos="1293"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0"/>
          <w:szCs w:val="20"/>
          <w:color w:val="auto"/>
        </w:rPr>
        <w:t xml:space="preserve"> shall terminate not later than the date on which all tax withholding obligations arising in connection with the vesting of the Award have been satisfied.</w:t>
      </w:r>
    </w:p>
    <w:p>
      <w:pPr>
        <w:spacing w:after="0" w:line="17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0"/>
          <w:szCs w:val="20"/>
          <w:color w:val="auto"/>
        </w:rPr>
        <w:t>Effective as of the date of this letter, each of your pre-March 2025 Grant Notices is amended as follows. The section currently titled “Withholding Tax Election” is deleted in its entirety and replaced with the following:</w:t>
      </w:r>
    </w:p>
    <w:p>
      <w:pPr>
        <w:spacing w:after="0" w:line="182" w:lineRule="exact"/>
        <w:rPr>
          <w:sz w:val="20"/>
          <w:szCs w:val="20"/>
          <w:color w:val="auto"/>
        </w:rPr>
      </w:pPr>
    </w:p>
    <w:p>
      <w:pPr>
        <w:ind w:left="660" w:firstLine="648"/>
        <w:spacing w:after="0" w:line="238" w:lineRule="auto"/>
        <w:rPr>
          <w:sz w:val="20"/>
          <w:szCs w:val="20"/>
          <w:color w:val="auto"/>
        </w:rPr>
      </w:pPr>
      <w:r>
        <w:rPr>
          <w:rFonts w:ascii="Times New Roman" w:cs="Times New Roman" w:eastAsia="Times New Roman" w:hAnsi="Times New Roman"/>
          <w:sz w:val="20"/>
          <w:szCs w:val="20"/>
          <w:b w:val="1"/>
          <w:bCs w:val="1"/>
          <w:color w:val="auto"/>
        </w:rPr>
        <w:t xml:space="preserve">Tax Withholding Obligations: </w:t>
      </w:r>
      <w:r>
        <w:rPr>
          <w:rFonts w:ascii="Times New Roman" w:cs="Times New Roman" w:eastAsia="Times New Roman" w:hAnsi="Times New Roman"/>
          <w:sz w:val="20"/>
          <w:szCs w:val="20"/>
          <w:color w:val="auto"/>
        </w:rPr>
        <w:t>Participant understands that, at the time the RSUs become vested and/or the underlying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are distributed, the Company may be required to withhold federal, state and local income and employment taxes. As described in more detail in Section 2.5 of the Agreement, the Administrator may, in its sole discretion, satisfy such tax withholding obligations by effecting either (i) a net settlement, where the Company withholds Shares otherwise deliverable to the Participant equal in value to the applicable tax withholding obligations, or (ii) a sell to cover transaction, where the Company arranges for the sale, by a broker of the Company’s choosing, of such number of Shares otherwise deliverable to the Participant equal in value to the tax obligation required to be withheld (plus any applicable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[Bioventus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right="260"/>
        <w:spacing w:after="0" w:line="255" w:lineRule="auto"/>
        <w:rPr>
          <w:sz w:val="20"/>
          <w:szCs w:val="20"/>
          <w:color w:val="auto"/>
        </w:rPr>
      </w:pPr>
      <w:r>
        <w:rPr>
          <w:rFonts w:ascii="Times New Roman" w:cs="Times New Roman" w:eastAsia="Times New Roman" w:hAnsi="Times New Roman"/>
          <w:sz w:val="20"/>
          <w:szCs w:val="20"/>
          <w:color w:val="auto"/>
        </w:rPr>
        <w:t>commission). Participant expressly authorizes the Company to use either such method of satisfying the applicable tax withholding obligations, as determined by the Administrator in its discretion.</w:t>
      </w:r>
    </w:p>
    <w:p>
      <w:pPr>
        <w:spacing w:after="0" w:line="21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Please sign below to confirm your understanding of, and agreement to, the change set forth in this letter. Except as expressly set forth above, your existing RSUs will continue to be governed by the terms of the applicable RSU Award Agreement and the Grant Notice, and, if applicable the Company’s 2021 Equity Incentive Plan.</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Sincerely,</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Bioventus,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[Name/Title]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 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18" w:right="359" w:bottom="1440" w:gutter="0" w:footer="0" w:header="0"/>
        </w:sectPr>
      </w:pPr>
    </w:p>
    <w:bookmarkStart w:id="155" w:name="page156"/>
    <w:bookmarkEnd w:id="155"/>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040"/>
          </w:cols>
          <w:pgMar w:left="5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7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LLC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Holdings LLC (1)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Coöperatief U.A.(2)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Canada, Ulc (3)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Germany GmbH (3)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UK, Ltd (3)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Misonix LLC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Misonix OpCo, LLC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Solsys Medical, LLC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Perseus Intermediate, Inc.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Bioness Inc. (5)</w:t>
      </w:r>
    </w:p>
    <w:p>
      <w:pPr>
        <w:spacing w:after="0" w:line="185" w:lineRule="exact"/>
        <w:rPr>
          <w:sz w:val="20"/>
          <w:szCs w:val="20"/>
          <w:color w:val="auto"/>
        </w:rPr>
      </w:pPr>
    </w:p>
    <w:p>
      <w:pPr>
        <w:ind w:left="500" w:hanging="37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Bioventus LLC</w:t>
      </w:r>
    </w:p>
    <w:p>
      <w:pPr>
        <w:spacing w:after="0" w:line="36" w:lineRule="exact"/>
        <w:rPr>
          <w:rFonts w:ascii="Times New Roman" w:cs="Times New Roman" w:eastAsia="Times New Roman" w:hAnsi="Times New Roman"/>
          <w:sz w:val="18"/>
          <w:szCs w:val="18"/>
          <w:color w:val="auto"/>
        </w:rPr>
      </w:pPr>
    </w:p>
    <w:p>
      <w:pPr>
        <w:ind w:left="500" w:hanging="372"/>
        <w:spacing w:after="0"/>
        <w:tabs>
          <w:tab w:leader="none" w:pos="5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Joint partnership between Bioventus LLC and Bioventus Holdings LLC</w:t>
      </w:r>
    </w:p>
    <w:p>
      <w:pPr>
        <w:spacing w:after="0" w:line="47" w:lineRule="exact"/>
        <w:rPr>
          <w:rFonts w:ascii="Times New Roman" w:cs="Times New Roman" w:eastAsia="Times New Roman" w:hAnsi="Times New Roman"/>
          <w:sz w:val="17"/>
          <w:szCs w:val="17"/>
          <w:color w:val="auto"/>
        </w:rPr>
      </w:pPr>
    </w:p>
    <w:p>
      <w:pPr>
        <w:ind w:left="500" w:hanging="37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Bioventus Coöperatief U.A.</w:t>
      </w:r>
    </w:p>
    <w:p>
      <w:pPr>
        <w:spacing w:after="0" w:line="36" w:lineRule="exact"/>
        <w:rPr>
          <w:rFonts w:ascii="Times New Roman" w:cs="Times New Roman" w:eastAsia="Times New Roman" w:hAnsi="Times New Roman"/>
          <w:sz w:val="18"/>
          <w:szCs w:val="18"/>
          <w:color w:val="auto"/>
        </w:rPr>
      </w:pPr>
    </w:p>
    <w:p>
      <w:pPr>
        <w:ind w:left="500" w:hanging="37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Misonix LLC</w:t>
      </w:r>
    </w:p>
    <w:p>
      <w:pPr>
        <w:spacing w:after="0" w:line="27" w:lineRule="exact"/>
        <w:rPr>
          <w:rFonts w:ascii="Times New Roman" w:cs="Times New Roman" w:eastAsia="Times New Roman" w:hAnsi="Times New Roman"/>
          <w:sz w:val="18"/>
          <w:szCs w:val="18"/>
          <w:color w:val="auto"/>
        </w:rPr>
      </w:pPr>
    </w:p>
    <w:p>
      <w:pPr>
        <w:ind w:left="500" w:hanging="37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owned subsidiary of Perseus Intermediate,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280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Carolina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680" w:space="220"/>
            <w:col w:w="5140"/>
          </w:cols>
          <w:pgMar w:left="520" w:top="603" w:right="33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5, 2026, with respect to the consolidated financial statements included in the Annual Report of Bioventus Inc. on Form 10-K for the year ended December 31, 2025. We consent to the incorporation by reference of said report in the Registration Statements of Bioventus Inc. on Form S-3 (File No. 333-282836), Forms S-8 (File No. 333-285698; File No. 333-278100; File No. 333-276437; File No. 333-272740; File No. 333-271310; File No. 333-264050; File No. 333-263496; File No. 333-260603; File No. 333-252981) and Form S-4 (File No. 333-259392).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ectPr>
          <w:pgSz w:w="11900" w:h="16838" w:orient="portrait"/>
          <w:cols w:equalWidth="0" w:num="1">
            <w:col w:w="11240"/>
          </w:cols>
          <w:pgMar w:left="320" w:top="60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Robert E. Claypoole, certify that:</w:t>
      </w:r>
    </w:p>
    <w:p>
      <w:pPr>
        <w:spacing w:after="0" w:line="117" w:lineRule="exact"/>
        <w:rPr>
          <w:sz w:val="20"/>
          <w:szCs w:val="20"/>
          <w:color w:val="auto"/>
        </w:rPr>
      </w:pPr>
    </w:p>
    <w:p>
      <w:pPr>
        <w:ind w:left="520" w:hanging="188"/>
        <w:spacing w:after="0"/>
        <w:tabs>
          <w:tab w:leader="none" w:pos="520" w:val="left"/>
        </w:tabs>
        <w:numPr>
          <w:ilvl w:val="0"/>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Annual Report on Form 10-K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7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w:t>
            </w:r>
          </w:p>
        </w:tc>
      </w:tr>
      <w:tr>
        <w:trPr>
          <w:trHeight w:val="234"/>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Date: March 5, 2026</w:t>
      </w:r>
    </w:p>
    <w:p>
      <w:pPr>
        <w:sectPr>
          <w:pgSz w:w="11900" w:h="16838" w:orient="portrait"/>
          <w:cols w:equalWidth="0" w:num="1">
            <w:col w:w="11240"/>
          </w:cols>
          <w:pgMar w:left="320" w:top="60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Mark L. Singleton, certify that:</w:t>
      </w:r>
    </w:p>
    <w:p>
      <w:pPr>
        <w:spacing w:after="0" w:line="117" w:lineRule="exact"/>
        <w:rPr>
          <w:sz w:val="20"/>
          <w:szCs w:val="20"/>
          <w:color w:val="auto"/>
        </w:rPr>
      </w:pPr>
    </w:p>
    <w:p>
      <w:pPr>
        <w:ind w:left="520" w:hanging="188"/>
        <w:spacing w:after="0"/>
        <w:tabs>
          <w:tab w:leader="none" w:pos="520" w:val="left"/>
        </w:tabs>
        <w:numPr>
          <w:ilvl w:val="0"/>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Annual Report on Form 10-K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7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ectPr>
          <w:pgSz w:w="11900" w:h="16838" w:orient="portrait"/>
          <w:cols w:equalWidth="0" w:num="1">
            <w:col w:w="11240"/>
          </w:cols>
          <w:pgMar w:left="320" w:top="84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3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Annual Report on Form 10-K of Bioventus Inc. (the Company) for the period ended December 31, 2025, as filed with the Securities and Exchange Commission on the date hereof (the Report), each of Robert E. Claypoole, President and Chief Executive Officer of the Company, and Mark L. Singleton, Senior Vice President and Chief Financial Officer of the Company, hereby certifies, that, to such officer's knowledge:</w:t>
      </w:r>
    </w:p>
    <w:p>
      <w:pPr>
        <w:spacing w:after="0" w:line="78" w:lineRule="exact"/>
        <w:rPr>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54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9"/>
        </w:trPr>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40" w:type="dxa"/>
            <w:vAlign w:val="bottom"/>
          </w:tcPr>
          <w:p>
            <w:pPr>
              <w:spacing w:after="0"/>
              <w:rPr>
                <w:sz w:val="20"/>
                <w:szCs w:val="20"/>
                <w:color w:val="auto"/>
              </w:rPr>
            </w:pPr>
          </w:p>
        </w:tc>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r>
        <w:trPr>
          <w:trHeight w:val="486"/>
        </w:trPr>
        <w:tc>
          <w:tcPr>
            <w:tcW w:w="5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40" w:type="dxa"/>
            <w:vAlign w:val="bottom"/>
          </w:tcPr>
          <w:p>
            <w:pPr>
              <w:spacing w:after="0"/>
              <w:rPr>
                <w:sz w:val="20"/>
                <w:szCs w:val="20"/>
                <w:color w:val="auto"/>
              </w:rPr>
            </w:pPr>
          </w:p>
        </w:tc>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ectPr>
          <w:pgSz w:w="11900" w:h="16838" w:orient="portrait"/>
          <w:cols w:equalWidth="0" w:num="1">
            <w:col w:w="11240"/>
          </w:cols>
          <w:pgMar w:left="320" w:top="846" w:right="339" w:bottom="1440" w:gutter="0" w:footer="0" w:header="0"/>
        </w:sectPr>
      </w:pPr>
    </w:p>
    <w:bookmarkStart w:id="160" w:name="page161"/>
    <w:bookmarkEnd w:id="16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treating a neuropathy</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2100" w:type="dxa"/>
            <w:vAlign w:val="bottom"/>
            <w:tcBorders>
              <w:right w:val="single" w:sz="8" w:color="auto"/>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disease with ultrasound using a</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2006203281</w:t>
            </w: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8/1/2006</w:t>
            </w:r>
          </w:p>
        </w:tc>
        <w:tc>
          <w:tcPr>
            <w:tcW w:w="10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2006203281</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8/1/2026</w:t>
            </w:r>
          </w:p>
        </w:tc>
        <w:tc>
          <w:tcPr>
            <w:tcW w:w="100" w:type="dxa"/>
            <w:vAlign w:val="bottom"/>
            <w:tcBorders>
              <w:right w:val="single" w:sz="8" w:color="auto"/>
            </w:tcBorders>
            <w:shd w:val="clear" w:color="auto" w:fill="CCEEFF"/>
          </w:tcPr>
          <w:p>
            <w:pPr>
              <w:spacing w:after="0"/>
              <w:rPr>
                <w:sz w:val="12"/>
                <w:szCs w:val="12"/>
                <w:color w:val="auto"/>
              </w:rPr>
            </w:pPr>
          </w:p>
        </w:tc>
        <w:tc>
          <w:tcPr>
            <w:tcW w:w="210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specific frequency and pulse rate</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Exogen</w:t>
            </w:r>
          </w:p>
        </w:tc>
        <w:tc>
          <w:tcPr>
            <w:tcW w:w="0" w:type="dxa"/>
            <w:vAlign w:val="bottom"/>
          </w:tcPr>
          <w:p>
            <w:pPr>
              <w:spacing w:after="0"/>
              <w:rPr>
                <w:sz w:val="1"/>
                <w:szCs w:val="1"/>
                <w:color w:val="auto"/>
              </w:rPr>
            </w:pPr>
          </w:p>
        </w:tc>
      </w:tr>
      <w:tr>
        <w:trPr>
          <w:trHeight w:val="212"/>
        </w:trPr>
        <w:tc>
          <w:tcPr>
            <w:tcW w:w="880" w:type="dxa"/>
            <w:vAlign w:val="bottom"/>
            <w:tcBorders>
              <w:left w:val="single" w:sz="8" w:color="auto"/>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3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1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0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0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1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signal</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7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2009262237</w:t>
            </w:r>
          </w:p>
        </w:tc>
        <w:tc>
          <w:tcPr>
            <w:tcW w:w="12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6/24/2009</w:t>
            </w:r>
          </w:p>
        </w:tc>
        <w:tc>
          <w:tcPr>
            <w:tcW w:w="10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2009262237</w:t>
            </w:r>
          </w:p>
        </w:tc>
        <w:tc>
          <w:tcPr>
            <w:tcW w:w="10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6/1/2029</w:t>
            </w:r>
          </w:p>
        </w:tc>
        <w:tc>
          <w:tcPr>
            <w:tcW w:w="100" w:type="dxa"/>
            <w:vAlign w:val="bottom"/>
            <w:tcBorders>
              <w:top w:val="single" w:sz="8" w:color="auto"/>
              <w:right w:val="single" w:sz="8" w:color="auto"/>
            </w:tcBorders>
          </w:tcPr>
          <w:p>
            <w:pPr>
              <w:spacing w:after="0"/>
              <w:rPr>
                <w:sz w:val="11"/>
                <w:szCs w:val="11"/>
                <w:color w:val="auto"/>
              </w:rPr>
            </w:pPr>
          </w:p>
        </w:tc>
        <w:tc>
          <w:tcPr>
            <w:tcW w:w="2100" w:type="dxa"/>
            <w:vAlign w:val="bottom"/>
            <w:tcBorders>
              <w:top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20" w:type="dxa"/>
            <w:vAlign w:val="bottom"/>
            <w:tcBorders>
              <w:top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electrical stimulation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2009324417</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2009324417</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2010326076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2010326076</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12/1/2030</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2014259553</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11/14/2014</w:t>
            </w: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2014259553</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2016213839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8/11/2016</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2016213839</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2020311913</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7/1/2040</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BE</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2602485</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2/23/2006</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2602485</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2/1/2026</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Ultrasonic debridement probe</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2655068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6/12/2007</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2655068</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6/1/2027</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Hook-shaped ultrasonic cutting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2661917</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8/17/2007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2661917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8/1/2027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Debridement with therapy</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2711770</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1/11/2008</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2711770</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1/1/2028</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debridement probe with</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scalloped head</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2746668</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2746668</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2780328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2780328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12/1/2030</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2799717</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5/20/2011</w:t>
            </w: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2799717</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5/1/2031</w:t>
            </w: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Imaging and therapy</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piezocomposite transducers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2799760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5/20/2011</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2799760</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5/1/2031</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transducer device with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movable acoustic focusing lens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2820572</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12/1/2011</w:t>
            </w:r>
          </w:p>
        </w:tc>
        <w:tc>
          <w:tcPr>
            <w:tcW w:w="10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2820572</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12/1/2031</w:t>
            </w:r>
          </w:p>
        </w:tc>
        <w:tc>
          <w:tcPr>
            <w:tcW w:w="100" w:type="dxa"/>
            <w:vAlign w:val="bottom"/>
            <w:tcBorders>
              <w:right w:val="single" w:sz="8" w:color="auto"/>
            </w:tcBorders>
            <w:shd w:val="clear" w:color="auto" w:fill="CCEEFF"/>
          </w:tcPr>
          <w:p>
            <w:pPr>
              <w:spacing w:after="0"/>
              <w:rPr>
                <w:sz w:val="11"/>
                <w:szCs w:val="11"/>
                <w:color w:val="auto"/>
              </w:rPr>
            </w:pPr>
          </w:p>
        </w:tc>
        <w:tc>
          <w:tcPr>
            <w:tcW w:w="210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Time-reversal manufacturing of</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ultrasonic probes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2851267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10/4/2012</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2851267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10/1/2032</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2906512</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3/14/2014</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2906512</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3/1/2034</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320" w:top="581" w:right="519" w:bottom="1440" w:gutter="0" w:footer="0" w:header="0"/>
        </w:sectPr>
      </w:pPr>
    </w:p>
    <w:bookmarkStart w:id="161" w:name="page162"/>
    <w:bookmarkEnd w:id="161"/>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2916838</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6/23/2014</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2916838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Irrigation outlet(s) in shank</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2916914</w:t>
            </w: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6/26/2013</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2916914</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shd w:val="clear" w:color="auto" w:fill="CCEEFF"/>
          </w:tcPr>
          <w:p>
            <w:pPr>
              <w:spacing w:after="0"/>
              <w:rPr>
                <w:sz w:val="12"/>
                <w:szCs w:val="12"/>
                <w:color w:val="auto"/>
              </w:rPr>
            </w:pPr>
          </w:p>
        </w:tc>
        <w:tc>
          <w:tcPr>
            <w:tcW w:w="212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2916967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6/23/2014</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2916967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Eccentric-head ultrasonic probe</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vibration damping</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2917015</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6/25/2014</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2917015</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shd w:val="clear" w:color="auto" w:fill="CCEEFF"/>
          </w:tcPr>
          <w:p>
            <w:pPr>
              <w:spacing w:after="0"/>
              <w:rPr>
                <w:sz w:val="11"/>
                <w:szCs w:val="11"/>
                <w:color w:val="auto"/>
              </w:rPr>
            </w:pPr>
          </w:p>
        </w:tc>
        <w:tc>
          <w:tcPr>
            <w:tcW w:w="212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coolant conduction</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2921617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8/6/2014</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2921617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8/1/2034</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increase debriding</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2925451</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9/17/2014</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2925451</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9/1/2034</w:t>
            </w:r>
          </w:p>
        </w:tc>
        <w:tc>
          <w:tcPr>
            <w:tcW w:w="100" w:type="dxa"/>
            <w:vAlign w:val="bottom"/>
            <w:tcBorders>
              <w:right w:val="single" w:sz="8" w:color="auto"/>
            </w:tcBorders>
            <w:shd w:val="clear" w:color="auto" w:fill="CCEEFF"/>
          </w:tcPr>
          <w:p>
            <w:pPr>
              <w:spacing w:after="0"/>
              <w:rPr>
                <w:sz w:val="11"/>
                <w:szCs w:val="11"/>
                <w:color w:val="auto"/>
              </w:rPr>
            </w:pPr>
          </w:p>
        </w:tc>
        <w:tc>
          <w:tcPr>
            <w:tcW w:w="212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end-of-life</w:t>
            </w: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indicator</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2938109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1/22/2015</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2938109</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1/1/2035</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rake-like teeth</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34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212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assembly with light</w:t>
            </w: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2947279</w:t>
            </w: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4/23/2015</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2947279</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4/1/2035</w:t>
            </w:r>
          </w:p>
        </w:tc>
        <w:tc>
          <w:tcPr>
            <w:tcW w:w="100" w:type="dxa"/>
            <w:vAlign w:val="bottom"/>
            <w:tcBorders>
              <w:right w:val="single" w:sz="8" w:color="auto"/>
            </w:tcBorders>
            <w:shd w:val="clear" w:color="auto" w:fill="CCEEFF"/>
          </w:tcPr>
          <w:p>
            <w:pPr>
              <w:spacing w:after="0"/>
              <w:rPr>
                <w:sz w:val="12"/>
                <w:szCs w:val="12"/>
                <w:color w:val="auto"/>
              </w:rPr>
            </w:pPr>
          </w:p>
        </w:tc>
        <w:tc>
          <w:tcPr>
            <w:tcW w:w="2120" w:type="dxa"/>
            <w:vAlign w:val="bottom"/>
            <w:tcBorders>
              <w:right w:val="single" w:sz="8" w:color="auto"/>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source on handpiece and induction</w:t>
            </w: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2988741</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6/6/2016</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2988741</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6/1/2036</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2992055</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7/7/2016</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2992055</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shd w:val="clear" w:color="auto" w:fill="CCEEFF"/>
          </w:tcPr>
          <w:p>
            <w:pPr>
              <w:spacing w:after="0"/>
              <w:rPr>
                <w:sz w:val="11"/>
                <w:szCs w:val="11"/>
                <w:color w:val="auto"/>
              </w:rPr>
            </w:pPr>
          </w:p>
        </w:tc>
        <w:tc>
          <w:tcPr>
            <w:tcW w:w="212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meltable</w:t>
            </w: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plastic parts for safety</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2992121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7/7/2016</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2992121</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Debrider with cup-shaped head and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rim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3023055</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4/24/2017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3023055</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3032078</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7/13/2017</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3032805</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7/31/2017</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3032805</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in electrical interference</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3054427</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3/5/2018</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3088074</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1/10/2019</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1/1/2039</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3097746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4/18/2019</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Ultrasonic Waveform</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1"/>
                <w:szCs w:val="11"/>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3117126</w:t>
            </w:r>
          </w:p>
        </w:tc>
        <w:tc>
          <w:tcPr>
            <w:tcW w:w="12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10/23/2018</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10/1/2038</w:t>
            </w:r>
          </w:p>
        </w:tc>
        <w:tc>
          <w:tcPr>
            <w:tcW w:w="100" w:type="dxa"/>
            <w:vAlign w:val="bottom"/>
            <w:tcBorders>
              <w:right w:val="single" w:sz="8" w:color="auto"/>
            </w:tcBorders>
            <w:shd w:val="clear" w:color="auto" w:fill="CCEEFF"/>
          </w:tcPr>
          <w:p>
            <w:pPr>
              <w:spacing w:after="0"/>
              <w:rPr>
                <w:sz w:val="11"/>
                <w:szCs w:val="11"/>
                <w:color w:val="auto"/>
              </w:rPr>
            </w:pPr>
          </w:p>
        </w:tc>
        <w:tc>
          <w:tcPr>
            <w:tcW w:w="212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3139126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7/1/2040</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3195377</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10/25/2021</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10/1/2041</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3218465</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4/27/2022</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4/1/2042</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Discectomy with diamond shaver</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3227494</w:t>
            </w: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8/11/2022</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8/1/2042</w:t>
            </w:r>
          </w:p>
        </w:tc>
        <w:tc>
          <w:tcPr>
            <w:tcW w:w="100" w:type="dxa"/>
            <w:vAlign w:val="bottom"/>
            <w:tcBorders>
              <w:right w:val="single" w:sz="8" w:color="auto"/>
            </w:tcBorders>
            <w:shd w:val="clear" w:color="auto" w:fill="CCEEFF"/>
          </w:tcPr>
          <w:p>
            <w:pPr>
              <w:spacing w:after="0"/>
              <w:rPr>
                <w:sz w:val="12"/>
                <w:szCs w:val="12"/>
                <w:color w:val="auto"/>
              </w:rPr>
            </w:pPr>
          </w:p>
        </w:tc>
        <w:tc>
          <w:tcPr>
            <w:tcW w:w="212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varied tooth pitch</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3242808</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1/1/2043</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Angled probe with features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w:t>
            </w:r>
          </w:p>
        </w:tc>
        <w:tc>
          <w:tcPr>
            <w:tcW w:w="10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2"/>
                <w:szCs w:val="12"/>
                <w:color w:val="auto"/>
              </w:rPr>
            </w:pPr>
          </w:p>
        </w:tc>
        <w:tc>
          <w:tcPr>
            <w:tcW w:w="212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320" w:top="581" w:right="519" w:bottom="1440" w:gutter="0" w:footer="0" w:header="0"/>
        </w:sectPr>
      </w:pPr>
    </w:p>
    <w:bookmarkStart w:id="162" w:name="page163"/>
    <w:bookmarkEnd w:id="16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201280055896</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10/4/2012</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104066389</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10/1/2032</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201410413348.3</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8/20/2014</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201410000000</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201480025182.6</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3/11/2014</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105377175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3/1/2034</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201480041451.8</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6/25/2014</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105451671</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coolant conduction</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201480043643.2</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6/26/2014</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105491968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201480058010.9</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8/6/2014</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105658160</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8/1/2034</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debriding</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201480060740.2</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9/17/2014</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105764433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end-of-life</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indicator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201580017003.9</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1/22/2015</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106163428</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1/1/2035</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rake-like teeth</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assembly with light</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201580031790.2</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4/23/2015</w:t>
            </w:r>
          </w:p>
        </w:tc>
        <w:tc>
          <w:tcPr>
            <w:tcW w:w="1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106572863</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4/1/2035</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source on handpiece and induction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power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201680041420.1</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7/7/2016</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107847240</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Debrider with cup-shaped head</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serrated rim</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201680045155.4</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6/6/2016</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6/1/2036</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201780036867.4</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4/24/2017</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109310453</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201780046208.9</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7/13/2017</w:t>
            </w: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109475360</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201780047901.8</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7/31/2017</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109561910</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in electrical interference</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201880028668.3</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3/5/2018</w:t>
            </w: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110602998</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3/1/2038</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201880098951.3</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10/23/2018</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112996547</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10/1/2038</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201980018048.6</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1/10/2019</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201980018048.6</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1/1/2039</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201980040119.2</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4/18/2019</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112312844</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Ultrasonic Waveform</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methods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202180072139.5</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10/25/2021</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10/1/2041</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202211123593.1</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4/24/2017</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Method of manufacturing unitary</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bone cutting blade</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202380023898.1</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1/1/2023</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1/1/2043</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Angled probe with features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202411602799.1</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1/10/2019</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1/1/2039</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2022800624652</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8/11/2022</w:t>
            </w:r>
          </w:p>
        </w:tc>
        <w:tc>
          <w:tcPr>
            <w:tcW w:w="1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8/1/2042</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varied tooth pitch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320" w:top="581" w:right="519" w:bottom="1440" w:gutter="0" w:footer="0" w:header="0"/>
        </w:sectPr>
      </w:pPr>
    </w:p>
    <w:bookmarkStart w:id="163" w:name="page164"/>
    <w:bookmarkEnd w:id="163"/>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200980155596.X</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12/13/2009</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200980155596.X</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CN</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202280044458.X</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4/27/2022</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4/1/2042</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Discectomy with diamond shaver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8827776.9</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8/25/2008</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2180918</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8/1/2028</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DE</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12/13/2009</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2389205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602009061168.2</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6/24/2009</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2291220</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6/1/2029</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electrical stimulation</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DE</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602010064767.6</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12/1/2010</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3299061</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12/1/2030</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602020058178.2</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7/8/2020</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3996798</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7/1/2040</w:t>
            </w: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1899238</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8/1/2011</w:t>
            </w:r>
          </w:p>
        </w:tc>
        <w:tc>
          <w:tcPr>
            <w:tcW w:w="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1899238</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8/1/2036</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7809465.3</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6/12/2007</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2032043</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6/1/2027</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Hook-shaped ultrasonic cutting</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blade</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7837032.7</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8/17/2007</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2059179</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8/1/2027</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Debridement with therapy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8705586.9</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1/11/2008</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2234556</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1/1/2028</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debridement probe with</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scalloped head</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8827776.9</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8/25/2008</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2180918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8/1/2028</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9770922.4</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6/24/2009</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2291220</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6/1/2029</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electrical stimulation</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12/13/2009</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2389205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11846265.4</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2667810</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12/1/2031</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Time-reversal manufacturing of</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ultrasonic probes</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14767324.8</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3/11/2014</w:t>
            </w: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2967593</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3/1/2034</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14816983.2</w:t>
            </w: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6/23/2014</w:t>
            </w:r>
          </w:p>
        </w:tc>
        <w:tc>
          <w:tcPr>
            <w:tcW w:w="120" w:type="dxa"/>
            <w:vAlign w:val="bottom"/>
            <w:tcBorders>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3013259</w:t>
            </w:r>
          </w:p>
        </w:tc>
        <w:tc>
          <w:tcPr>
            <w:tcW w:w="10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shd w:val="clear" w:color="auto" w:fill="CCEEFF"/>
          </w:tcPr>
          <w:p>
            <w:pPr>
              <w:spacing w:after="0"/>
              <w:rPr>
                <w:sz w:val="12"/>
                <w:szCs w:val="12"/>
                <w:color w:val="auto"/>
              </w:rPr>
            </w:pPr>
          </w:p>
        </w:tc>
        <w:tc>
          <w:tcPr>
            <w:tcW w:w="2080" w:type="dxa"/>
            <w:vAlign w:val="bottom"/>
            <w:tcBorders>
              <w:right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probe with irrigation</w:t>
            </w:r>
          </w:p>
        </w:tc>
        <w:tc>
          <w:tcPr>
            <w:tcW w:w="12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outlets in probe shank</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14817142.4</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6/26/2014</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3013260</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14818585.3</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6/23/2014</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3013261</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Eccentric-head ultrasonic probe</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vibration damping</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14838072.8</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8/6/2014</w:t>
            </w:r>
          </w:p>
        </w:tc>
        <w:tc>
          <w:tcPr>
            <w:tcW w:w="1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3035875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increase debriding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14847151.9</w:t>
            </w:r>
          </w:p>
        </w:tc>
        <w:tc>
          <w:tcPr>
            <w:tcW w:w="100" w:type="dxa"/>
            <w:vAlign w:val="bottom"/>
            <w:tcBorders>
              <w:right w:val="single" w:sz="8" w:color="auto"/>
            </w:tcBorders>
            <w:shd w:val="clear" w:color="auto" w:fill="CCEEFF"/>
          </w:tcPr>
          <w:p>
            <w:pPr>
              <w:spacing w:after="0"/>
              <w:rPr>
                <w:sz w:val="11"/>
                <w:szCs w:val="11"/>
                <w:color w:val="auto"/>
              </w:rPr>
            </w:pPr>
          </w:p>
        </w:tc>
        <w:tc>
          <w:tcPr>
            <w:tcW w:w="11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9/17/2014</w:t>
            </w:r>
          </w:p>
        </w:tc>
        <w:tc>
          <w:tcPr>
            <w:tcW w:w="120" w:type="dxa"/>
            <w:vAlign w:val="bottom"/>
            <w:tcBorders>
              <w:right w:val="single" w:sz="8" w:color="auto"/>
            </w:tcBorders>
            <w:shd w:val="clear" w:color="auto" w:fill="CCEEFF"/>
          </w:tcPr>
          <w:p>
            <w:pPr>
              <w:spacing w:after="0"/>
              <w:rPr>
                <w:sz w:val="11"/>
                <w:szCs w:val="11"/>
                <w:color w:val="auto"/>
              </w:rPr>
            </w:pPr>
          </w:p>
        </w:tc>
        <w:tc>
          <w:tcPr>
            <w:tcW w:w="11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3049001</w:t>
            </w:r>
          </w:p>
        </w:tc>
        <w:tc>
          <w:tcPr>
            <w:tcW w:w="1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9/1/2034</w:t>
            </w:r>
          </w:p>
        </w:tc>
        <w:tc>
          <w:tcPr>
            <w:tcW w:w="100" w:type="dxa"/>
            <w:vAlign w:val="bottom"/>
            <w:tcBorders>
              <w:right w:val="single" w:sz="8" w:color="auto"/>
            </w:tcBorders>
            <w:shd w:val="clear" w:color="auto" w:fill="CCEEFF"/>
          </w:tcPr>
          <w:p>
            <w:pPr>
              <w:spacing w:after="0"/>
              <w:rPr>
                <w:sz w:val="11"/>
                <w:szCs w:val="11"/>
                <w:color w:val="auto"/>
              </w:rPr>
            </w:pPr>
          </w:p>
        </w:tc>
        <w:tc>
          <w:tcPr>
            <w:tcW w:w="2080" w:type="dxa"/>
            <w:vAlign w:val="bottom"/>
            <w:tcBorders>
              <w:right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end-of-life</w:t>
            </w:r>
          </w:p>
        </w:tc>
        <w:tc>
          <w:tcPr>
            <w:tcW w:w="12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1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16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indicator</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320" w:top="581" w:right="519" w:bottom="1440" w:gutter="0" w:footer="0" w:header="0"/>
        </w:sectPr>
      </w:pPr>
    </w:p>
    <w:bookmarkStart w:id="164" w:name="page165"/>
    <w:bookmarkEnd w:id="164"/>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90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9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15173566.9</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6/12/2007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2949279</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6/1/2027</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Hook-shaped ultrasonic cutting</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blade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15746296.1</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1/22/2015</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3102126</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1/1/2035</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rake-like teeth</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3136996 (DE, ES,</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assembly with light</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15785631.1</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4/23/2015</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4/1/2035</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source on handpiece and induction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8"/>
        </w:trPr>
        <w:tc>
          <w:tcPr>
            <w:tcW w:w="9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FR, GB, IT)</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power</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16808086.9</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4/23/2015</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3322368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4/1/2035</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16821973.1</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6/7/2016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3319533</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Meltable plastic parts for safety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16824918.3</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7/7/2016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3322355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Debrider with cup-shaped head</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serrated rim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16824918.3</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7/7/2016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3322355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Debrider with cup-shaped head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serrated rim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17195472</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12/1/2010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3299061</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12/1/2030</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17793008.8</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4/24/2017</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3451952</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17834961.9</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7/13/2017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3493751 (DE, ES,</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FR, GB, 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17837470.8</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7/31/2017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3493753 (DE, ES,</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Reduction in electrical interference</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FR, GB, 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18763856.4</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3/5/2018</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3592255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3/1/2038</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18938154.4</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10/23/2018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10/1/2038</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19738214.6</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1/10/2019</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3737324</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1/1/2039</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19788288.9</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4/18/2019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3781049 (DE, ES,</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Ultrasonic Waveform</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FR, GB, 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20837675.6</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7/8/2020</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3996798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7/1/2040</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21884059.3</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10/25/2021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10/1/2041</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22196982.7</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4/24/2017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4129217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Unitary bone cutting blade and</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 of manufacture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22805152</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4/27/2022</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4/1/2042</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Discectomy with diamond shaver</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22856601.4</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8/11/2022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8/1/2042</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varied tooth pitch</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23735176.2</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1/1/2023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1/1/2043</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Angled probe with features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24191852.3</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7/30/2024</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Unitary Bone Scalpel Blade</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 of Manufacture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25197469.7</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12/10/2025</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7/1/2040</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12837901.3.0</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10/4/2012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2763603</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10/1/2032</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320" w:top="581" w:right="519" w:bottom="1440" w:gutter="0" w:footer="0" w:header="0"/>
        </w:sectPr>
      </w:pPr>
    </w:p>
    <w:bookmarkStart w:id="165" w:name="page166"/>
    <w:bookmarkEnd w:id="165"/>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2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9001736091-0001</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7/26/2010</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9001736091-0001</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7/1/2035</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wound treatment probe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9001903303-0001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8/11/2011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9001903303-0001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8/1/2036</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wound treatment probe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9002021808-0001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4/2/2012</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9002021808-0001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4/1/2037</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osteotome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9002293001-0001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8/19/2013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9002293001-0001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8/1/2038</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Hook blade with serrations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FR</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8827776.9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8/25/2008</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2180918</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8/1/2028</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FR</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9770922.4</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6/24/2009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2291220</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6/1/2029</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electrical stimulation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FR</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FR</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17195472</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3299061</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12/1/2030</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20837675.6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3996798</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7/1/2040</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GB</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8827776.9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8/25/2008</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2180918</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8/1/2028</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GB</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9770922.4</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6/24/2009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2291220</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6/1/2029</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electrical stimulation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GB</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GB</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17195472</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3299061</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12/1/2030</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GB</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20837675.6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3996798</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7/1/2040</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15105678.1</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6/16/2015</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HK1205007</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16111188.1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9/23/2016</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1223007</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6/1/2034</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coolant conduction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16111842.9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10/13/2016</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1223532</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6/1/2034</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Recesses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17105187.3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5/22/2017</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1231352</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1/1/2035</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with rake-like teeth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assembly with light</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17110662.7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4/23/2015</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1236784</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4/1/2035</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source on handpiece and induction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power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320" w:top="581" w:right="519" w:bottom="1440" w:gutter="0" w:footer="0" w:header="0"/>
        </w:sectPr>
      </w:pPr>
    </w:p>
    <w:bookmarkStart w:id="166" w:name="page167"/>
    <w:bookmarkEnd w:id="166"/>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18109516.6</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7/23/2018</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1250000</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Debrider with cup-shaped head</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and serrated rim</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18112126.2</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9/20/2018</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6/1/2036</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19127425.7</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4/24/2017</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HK40003915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19129580.7</w:t>
            </w:r>
          </w:p>
        </w:tc>
        <w:tc>
          <w:tcPr>
            <w:tcW w:w="1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7/13/2017</w:t>
            </w:r>
          </w:p>
        </w:tc>
        <w:tc>
          <w:tcPr>
            <w:tcW w:w="1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HK40006052</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42023073238</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4/24/2017</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Method of manufacturing unitary</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 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62020007120.2</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3/5/2018</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40017235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3/1/2038</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62021034638.8</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4/18/2019</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40044448</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Ultrasonic Waveform</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62021042362.5</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10/23/2018</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10/1/2038</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HK</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62024084933.6</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10/25/2021</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10/1/2041</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IN</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2567/KOLNP/2011</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2/4/2016</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365827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IT</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1446424</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8/1/2011</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1446424</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6/1/2032</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2010-522104</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8/25/2008</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5425077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8/1/2028</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2011-17861</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2/4/2011</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1445133</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6/1/2032</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2012-542152</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5667205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12/1/2030</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2014-534709</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10/4/2012</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6129855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10/1/2032</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2016-501240</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3/11/2014</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6509802</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3/1/2034</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2016-523829</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6/23/2014</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6534996</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Eccentric-head ultrasonic probe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vibration damping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2016-523830</w:t>
            </w: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6/23/2014</w:t>
            </w: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6450380</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Irrigation outlet(s) in shank</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2016-523885</w:t>
            </w:r>
          </w:p>
        </w:tc>
        <w:tc>
          <w:tcPr>
            <w:tcW w:w="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6/25/2014</w:t>
            </w:r>
          </w:p>
        </w:tc>
        <w:tc>
          <w:tcPr>
            <w:tcW w:w="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6727122</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coolant conduction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2016-524182</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6/26/2014</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6490065</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2016-536284</w:t>
            </w:r>
          </w:p>
        </w:tc>
        <w:tc>
          <w:tcPr>
            <w:tcW w:w="1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8/6/2014</w:t>
            </w:r>
          </w:p>
        </w:tc>
        <w:tc>
          <w:tcPr>
            <w:tcW w:w="1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6362700</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8/1/2034</w:t>
            </w:r>
          </w:p>
        </w:tc>
        <w:tc>
          <w:tcPr>
            <w:tcW w:w="10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increase debriding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320" w:top="581" w:right="519" w:bottom="1440" w:gutter="0" w:footer="0" w:header="0"/>
        </w:sectPr>
      </w:pPr>
    </w:p>
    <w:bookmarkStart w:id="167" w:name="page168"/>
    <w:bookmarkEnd w:id="167"/>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2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2016-550183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1/22/2015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6787784</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1/1/2035</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with rake-like teeth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2017-564047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6/7/2016</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6836518</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7/1/2036</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2018-120871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6/26/2018</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6567738</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8/1/2034</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increase debriding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2018-558162</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4/24/2017</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7128145</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4/1/2037</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2019-39303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3/5/2019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6857203</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6/1/2034</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coolant conduction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2019-504026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7/13/2017</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7102392</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7/1/2037</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Curette with aspiration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2019-548698</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3/5/2018</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7159184</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3/1/2038</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2020-538829</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1/10/2019</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7324447</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1/1/2039</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2020-557971</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4/18/2019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7431749</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4/1/2039</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Ultrasonic Waveform</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methods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2021-522362</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10/23/2018</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7385659</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10/1/2038</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set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2021-566334</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7/1/2040</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2023-524991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10/25/2021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10/1/2041</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2023-572161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4/27/2022</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4/1/2042</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Discectomy with diamond shaver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2024-508689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8/11/2022</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8/1/2042</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with varied tooth pitch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2024-539844</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1/1/2043</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Angled probe with features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JP</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2026-008699</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7/8/2020</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Pending</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7/1/2040</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KR</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10-2011-7016270</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7/2/2019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10-1713346</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PT</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9832666.3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2389205</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UK</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9001736091-0001</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7/26/2010</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9001736091-0001</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7/1/2035</w:t>
            </w:r>
          </w:p>
        </w:tc>
        <w:tc>
          <w:tcPr>
            <w:tcW w:w="12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Debrider with small scoop</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UK</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9001899238-0001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9001899238-0001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6/1/2036</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UK</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9001903303-0001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8/11/2011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9001903303-0001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8/1/2036</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wound treatment probe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UK</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9002021808-0001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4/2/2012</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9002021808-0001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4/1/2037</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osteotome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UK</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9002293001-0001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8/19/2013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9002293001-0001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8/1/2038</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Hook blade with serrations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11/087,451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3/23/2005</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7931611</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10/1/2027</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debridement probe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11/196,607</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8/2/2005</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8343178</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2/1/2029</w:t>
            </w:r>
          </w:p>
        </w:tc>
        <w:tc>
          <w:tcPr>
            <w:tcW w:w="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Ultrasonic blunt blade method</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320" w:top="581" w:right="519" w:bottom="1440" w:gutter="0" w:footer="0" w:header="0"/>
        </w:sectPr>
      </w:pPr>
    </w:p>
    <w:bookmarkStart w:id="168" w:name="page169"/>
    <w:bookmarkEnd w:id="168"/>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20" w:type="dxa"/>
            <w:vAlign w:val="bottom"/>
            <w:tcBorders>
              <w:top w:val="single" w:sz="8" w:color="auto"/>
              <w:right w:val="single" w:sz="8" w:color="auto"/>
            </w:tcBorders>
          </w:tcPr>
          <w:p>
            <w:pPr>
              <w:spacing w:after="0"/>
              <w:rPr>
                <w:sz w:val="13"/>
                <w:szCs w:val="13"/>
                <w:color w:val="auto"/>
              </w:rPr>
            </w:pPr>
          </w:p>
        </w:tc>
        <w:tc>
          <w:tcPr>
            <w:tcW w:w="2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7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11/452,608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6/14/2006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8814870</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8/1/2030</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Hook-shaped ultrasonic cutting</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blade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Directed to treating a neuropathy</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disease with ultrasound using a</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11/462,271</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8/3/2006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8048006</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2/1/2029</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specific frequency and pulse rate</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Exogen</w:t>
            </w:r>
          </w:p>
        </w:tc>
        <w:tc>
          <w:tcPr>
            <w:tcW w:w="0" w:type="dxa"/>
            <w:vAlign w:val="bottom"/>
          </w:tcPr>
          <w:p>
            <w:pPr>
              <w:spacing w:after="0"/>
              <w:rPr>
                <w:sz w:val="1"/>
                <w:szCs w:val="1"/>
                <w:color w:val="auto"/>
              </w:rPr>
            </w:pPr>
          </w:p>
        </w:tc>
      </w:tr>
      <w:tr>
        <w:trPr>
          <w:trHeight w:val="188"/>
        </w:trPr>
        <w:tc>
          <w:tcPr>
            <w:tcW w:w="880" w:type="dxa"/>
            <w:vAlign w:val="bottom"/>
            <w:tcBorders>
              <w:left w:val="single" w:sz="8" w:color="auto"/>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signal</w:t>
            </w:r>
          </w:p>
        </w:tc>
        <w:tc>
          <w:tcPr>
            <w:tcW w:w="1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11/511,853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8/29/2006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8025672</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12/1/2026</w:t>
            </w: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Debridement with therapy</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11/511,856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8/29/2006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8430897</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3/1/2028</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Ultrasonic debridement probe with</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scalloped head</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11/582,746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10/18/2006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9693792</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12/1/2034</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treatment method and</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apparatus with pain suppression</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11/805,940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5/25/2007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8109925</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11/1/2030</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Treatment of breast disease with</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vibrating device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11/809,676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6/1/2007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8353912</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8/1/2030</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Ultrasonic discectomy method and</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tool</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and method for</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11/867,454</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10/4/2007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8483820</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11/1/2030</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percutaneous delivery of electrical</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stimulation to a target body tissue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11/986,424</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11/21/2007</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9636187</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3/1/2028</w:t>
            </w:r>
          </w:p>
        </w:tc>
        <w:tc>
          <w:tcPr>
            <w:tcW w:w="12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Surgical shield</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Implant, system and method using</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11/993,393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6/28/2006</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8332029</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4/1/2028</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implanted passive conductors for</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routing electrical current</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12/187,662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8/7/2008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8494650</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4/1/2030</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Insertion tools and method for an</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electrical stimulation implant</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12/197,849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8/25/2008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8467880</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11/1/2031</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Directed to applying ultrasound to</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tissue using a modal converter</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12/296,333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4/7/2007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8226582</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6/1/2028</w:t>
            </w:r>
          </w:p>
        </w:tc>
        <w:tc>
          <w:tcPr>
            <w:tcW w:w="12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having an oblique angle and speed</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Exogen</w:t>
            </w:r>
          </w:p>
        </w:tc>
        <w:tc>
          <w:tcPr>
            <w:tcW w:w="0" w:type="dxa"/>
            <w:vAlign w:val="bottom"/>
          </w:tcPr>
          <w:p>
            <w:pPr>
              <w:spacing w:after="0"/>
              <w:rPr>
                <w:sz w:val="1"/>
                <w:szCs w:val="1"/>
                <w:color w:val="auto"/>
              </w:rPr>
            </w:pPr>
          </w:p>
        </w:tc>
      </w:tr>
      <w:tr>
        <w:trPr>
          <w:trHeight w:val="188"/>
        </w:trPr>
        <w:tc>
          <w:tcPr>
            <w:tcW w:w="880" w:type="dxa"/>
            <w:vAlign w:val="bottom"/>
            <w:tcBorders>
              <w:left w:val="single" w:sz="8" w:color="auto"/>
              <w:right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of sound similar to human tissue</w:t>
            </w:r>
          </w:p>
        </w:tc>
        <w:tc>
          <w:tcPr>
            <w:tcW w:w="1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12/407,097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3/19/2009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8167640</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12/1/2029</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Flexible connector for implantable</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electrical stimulation lead</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12/628,273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12/1/2009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8738137</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11/1/2028</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13/000,840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6/24/2009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9925374</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7/1/2029</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Treatment of indications using</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electrical stimulation</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13/201,416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8/12/2011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8698377</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Issued</w:t>
            </w:r>
          </w:p>
        </w:tc>
        <w:tc>
          <w:tcPr>
            <w:tcW w:w="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5/1/2031</w:t>
            </w:r>
          </w:p>
        </w:tc>
        <w:tc>
          <w:tcPr>
            <w:tcW w:w="1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Imaging and therapy</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piezocomposite transducers</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320" w:top="581" w:right="519" w:bottom="1440" w:gutter="0" w:footer="0" w:header="0"/>
        </w:sectPr>
      </w:pPr>
    </w:p>
    <w:bookmarkStart w:id="169" w:name="page170"/>
    <w:bookmarkEnd w:id="169"/>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13/203,771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8/29/2011</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8690783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6/1/2031</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transducer device with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movable acoustic focusing lens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13/268,057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10/7/2011</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8894673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10/1/2031</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13/307,691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11/30/2011</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10470788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11/1/2031</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Time-reversal manufacturing of</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probes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13/513,318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12/1/2010</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9072896</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5/1/2029</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13/558,947</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7/26/2012</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8659208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6/1/2028</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Digital waveform generator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Implant, system and method using</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13/618,739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9/14/2012</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8538517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implanted passive conductors for</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routing electrical current</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13/833,385</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3/15/2013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10076349</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3/1/2035</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13/927,619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6/26/2013</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9320528</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4/1/2034</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coolant conduction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13/930,148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6/28/2013</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10398463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1/1/2036</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Eccentric-head ultrasonic probe</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vibration damping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13/930,170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6/28/2013</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9211137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3/1/2034</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irrigation</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outlets in probe shank</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13/930,253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6/28/2013</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9070856</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8/1/2028</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Digital waveform generator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13/931,003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6/28/2013</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9387005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4/1/2034</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13/931,045</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6/28/2013</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10182837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6/1/2033</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Sheath coupling member with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helical insert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13/973,711</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8/22/2013</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9622766</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7/1/2035</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Semi-rigid sheath flexing to</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increase debriding</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Implant, system and method using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14/027,930</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9/16/2013</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8862225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implanted passive conductors for</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routing electrical current</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14/038,463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9/26/2013</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10117666</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instrument with end-of-</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life indicator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14/172,566</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2/4/2014</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9949751</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2/1/2034</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rake-like teeth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14/192,297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2/27/2014</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10039566</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6/1/2031</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transducer device with</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movable acoustic focusing lens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14/192,489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2/27/2014</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9517053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7/1/2032</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Imaging and therapy</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piezocomposite transducers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14/211,586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3/14/2014</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10206704</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11/1/2036</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Spine surgery methods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60"/>
          </w:cols>
          <w:pgMar w:left="320" w:top="581" w:right="519" w:bottom="1440" w:gutter="0" w:footer="0" w:header="0"/>
        </w:sectPr>
      </w:pPr>
    </w:p>
    <w:bookmarkStart w:id="170" w:name="page171"/>
    <w:bookmarkEnd w:id="17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assembly with light</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14/264,705</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4/29/2014</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10398465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4/1/2034</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source on handpiece and induction</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power</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14/338,009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7/22/2014</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9119658</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6/1/2026</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Hook-shaped ultrasonic cutting</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blade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14/513,923</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10/14/2014</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9421028</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10/1/2031</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Osteotome, lobed blade with notch</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at shaft</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14/630,329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2/24/2015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9757554</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8/1/2028</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System for transmitting electrical</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StimRouter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current to a bodily tissue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14/733,260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6/8/2015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10092741</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8/1/2035</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14/795,667</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7/9/2015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11298434</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3/1/2037</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probe with meltable</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plastic parts for safety</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14/797,660</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7/13/2015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9872697</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8/1/2036</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Debrider with cup-shaped head and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rim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14/933,784</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11/5/2015</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10299809</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4/1/2037</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Biofilm prevention / reduction</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14/938,280</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11/11/2015</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10471281</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2/1/2038</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Bone stimulation to assist in bone</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healing</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14/939,552</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10092308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10/1/2036</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Biofilm prevention / reduction</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14/939,668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10842587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5/1/2039</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Methods for Treating</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Spine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14/939,902</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9566368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11/1/2035</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Moldable bone graft compositions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Signafuse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15/016,072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12/13/2009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10383974</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15/091,349</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4/5/2016</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10219822</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11/1/2034</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blade with micropores</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coolant conduction</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15/147,323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5/5/2016</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10405875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5/1/2037</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15/204,788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7/7/2016</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9788852</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6/1/2033</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Flat Blade with Large Shallow</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Recesses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15/221,271</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7/27/2016</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10463381</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9/1/2037</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15/395,301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12/30/2016</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10034965</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11/1/2035</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Moldable bone graft compositions</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Signafuse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15/450,818</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3/6/2017</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10470789</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7/1/2037</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Reducing or removing biofilm</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15/664,663</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7/31/2017</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10543012</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3/1/2038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Reduction in electrical interference</w:t>
            </w:r>
          </w:p>
        </w:tc>
        <w:tc>
          <w:tcPr>
            <w:tcW w:w="1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15/873,607</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1/17/2018</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10675052</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8/1/2036</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Debrider with cup-shaped head</w:t>
            </w:r>
          </w:p>
        </w:tc>
        <w:tc>
          <w:tcPr>
            <w:tcW w:w="10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serrated rim</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15/936,785</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3/27/2018</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10980564</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6/1/2036</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Ultrasonic debridement probe head</w:t>
            </w:r>
          </w:p>
        </w:tc>
        <w:tc>
          <w:tcPr>
            <w:tcW w:w="1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rake-like teeth</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16/047,420</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7/27/2018</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10835642</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11/1/2035</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Moldable bone graft compositions</w:t>
            </w:r>
          </w:p>
        </w:tc>
        <w:tc>
          <w:tcPr>
            <w:tcW w:w="10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Signafuse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60"/>
          </w:cols>
          <w:pgMar w:left="320" w:top="581" w:right="519" w:bottom="1440" w:gutter="0" w:footer="0" w:header="0"/>
        </w:sectPr>
      </w:pPr>
    </w:p>
    <w:bookmarkStart w:id="171" w:name="page172"/>
    <w:bookmarkEnd w:id="171"/>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16/116,255</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8/29/2018</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11272949</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7/1/2033</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drill with fins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16/126,649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9/10/2018</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11096711</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6/1/2035</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Monitoring nerves, blood vessels</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BoneScalpel/Sonastar</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ultrasonic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16/126,737</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9/10/2018</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10973537</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12/1/2036</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Biofilm prevention / reduction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16/169,569</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10/24/2018</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11007308</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3/1/2039</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16/243,816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1/9/2019</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10835276</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16/268,198</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2/5/2019</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10869686</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6/1/2034</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Spine surgery methods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16/269,229</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2/6/2019</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11147570</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9/1/2036</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Biofilm prevention / reduction</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16/388,512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4/18/2019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11324531</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4/1/2039</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Ultrasonic surgical drill and</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16/392,244</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4/23/2019</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11832843</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5/1/2035</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Time-Reversal Manufacturing of</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Probes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16/459,778</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2/4/2016</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11491260</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12/1/2029</w:t>
            </w:r>
          </w:p>
        </w:tc>
        <w:tc>
          <w:tcPr>
            <w:tcW w:w="10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Directed to methods of making</w:t>
            </w:r>
          </w:p>
        </w:tc>
        <w:tc>
          <w:tcPr>
            <w:tcW w:w="12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OsteoAMP</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osteoinductive implants</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16/504,623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7/8/2019</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11065461</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7/1/2039</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16/540,376</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8/14/2019</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11406413</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5/1/2036</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Unitary bone cutting blade</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16/540,532</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8/14/2019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11540853</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5/1/2036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Manufacturing of unitary bone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cutting blade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16/573,703</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9/17/2019</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11389183</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7/1/2036</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Curette with aspiration</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17/098,906</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11/16/2020</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11737775</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1/1/2039</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Robotic ultrasonic bone surgery</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17/099,117</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11/16/2020</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11672889</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11/1/2035</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Moldable bone graft compositions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Signafuse</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17/158,596</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1/26/2021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12279787</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7/1/2043</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Spinal surgery method</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17/228,901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4/13/2021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11839390</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11/1/2034</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Biofilm prevention / reduction</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17/235,308</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4/20/2021</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11821417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3/1/2039</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17/326,617</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5/21/2021</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11672558</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6/1/2041</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Ultrasonically cutting spine disc</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17/327,041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5/21/2021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12011190</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8/1/2042</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Discectomy with diamond shaver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17/379,220</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7/19/2021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11890485</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4/1/2040</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17/402,295</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8/13/2021</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12402905</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1/1/2044</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varied tooth pitch</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17/509,486</w:t>
            </w: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10/25/2021</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11950790</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4/1/2042</w:t>
            </w: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Plasma jet spinal surgery</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17/571,101</w:t>
            </w:r>
          </w:p>
        </w:tc>
        <w:tc>
          <w:tcPr>
            <w:tcW w:w="1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1/1/2022</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1/1/2042</w:t>
            </w:r>
          </w:p>
        </w:tc>
        <w:tc>
          <w:tcPr>
            <w:tcW w:w="100" w:type="dxa"/>
            <w:vAlign w:val="bottom"/>
            <w:tcBorders>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Angled probe with features</w:t>
            </w:r>
          </w:p>
        </w:tc>
        <w:tc>
          <w:tcPr>
            <w:tcW w:w="1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39"/>
        </w:trPr>
        <w:tc>
          <w:tcPr>
            <w:tcW w:w="8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18/092,563</w:t>
            </w:r>
          </w:p>
        </w:tc>
        <w:tc>
          <w:tcPr>
            <w:tcW w:w="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1/1/2023</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12433629</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5/1/2036</w:t>
            </w:r>
          </w:p>
        </w:tc>
        <w:tc>
          <w:tcPr>
            <w:tcW w:w="10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Unitary bone cutting blade and</w:t>
            </w:r>
          </w:p>
        </w:tc>
        <w:tc>
          <w:tcPr>
            <w:tcW w:w="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 of manufacture</w:t>
            </w:r>
          </w:p>
        </w:tc>
        <w:tc>
          <w:tcPr>
            <w:tcW w:w="12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60"/>
          </w:cols>
          <w:pgMar w:left="320" w:top="581" w:right="519" w:bottom="1440" w:gutter="0" w:footer="0" w:header="0"/>
        </w:sectPr>
      </w:pPr>
    </w:p>
    <w:bookmarkStart w:id="172" w:name="page173"/>
    <w:bookmarkEnd w:id="17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Bioventus Inc. Patent Listing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900" w:type="dxa"/>
            <w:vAlign w:val="bottom"/>
            <w:tcBorders>
              <w:top w:val="single" w:sz="8" w:color="auto"/>
              <w:left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Borders>
              <w:top w:val="single" w:sz="8" w:color="auto"/>
              <w:right w:val="single" w:sz="8" w:color="auto"/>
            </w:tcBorders>
          </w:tcPr>
          <w:p>
            <w:pPr>
              <w:spacing w:after="0"/>
              <w:rPr>
                <w:sz w:val="13"/>
                <w:szCs w:val="13"/>
                <w:color w:val="auto"/>
              </w:rPr>
            </w:pPr>
          </w:p>
        </w:tc>
        <w:tc>
          <w:tcPr>
            <w:tcW w:w="2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7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Number</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Patent Number</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0" w:type="dxa"/>
            <w:vAlign w:val="bottom"/>
          </w:tcPr>
          <w:p>
            <w:pPr>
              <w:spacing w:after="0"/>
              <w:rPr>
                <w:sz w:val="1"/>
                <w:szCs w:val="1"/>
                <w:color w:val="auto"/>
              </w:rPr>
            </w:pPr>
          </w:p>
        </w:tc>
      </w:tr>
      <w:tr>
        <w:trPr>
          <w:trHeight w:val="198"/>
        </w:trPr>
        <w:tc>
          <w:tcPr>
            <w:tcW w:w="9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18/389,084</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11/13/2023</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10/1/2038</w:t>
            </w: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Fluid handling assembly and tube</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neXus</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18/410,217</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1/11/2024</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12465775</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7/1/2039</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19/296,789</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8/11/2025</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8/1/2041</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Serrated ultrasonic cutting blade</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with varied tooth pitch</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19/316,832</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9/1/2025</w:t>
            </w:r>
          </w:p>
        </w:tc>
        <w:tc>
          <w:tcPr>
            <w:tcW w:w="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Unitary bone cutting blade and</w:t>
            </w:r>
          </w:p>
        </w:tc>
        <w:tc>
          <w:tcPr>
            <w:tcW w:w="1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method of manufacture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19/320,868</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9/1/2025</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9/1/2045</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Rigid Sheath for Angled Probe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Sonastar</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19/357,937</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10/14/2025</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Pending</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7/1/2039</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Implantable power adapter</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TalisMann</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29/384,867</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2/4/2011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D680,218</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4/1/2027</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29/403,580</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10/7/2011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D700327</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osteotome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29/404,754</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10/25/2011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D699,839</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Surgical shield</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SonicOne</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29/414,827</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3/5/2012</w:t>
            </w: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D685087</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6/1/2027</w:t>
            </w:r>
          </w:p>
        </w:tc>
        <w:tc>
          <w:tcPr>
            <w:tcW w:w="10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Laparoscopic sleeve with distal end</w:t>
            </w:r>
          </w:p>
        </w:tc>
        <w:tc>
          <w:tcPr>
            <w:tcW w:w="1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3"/>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window</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29/422,537</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2/4/2011</w:t>
            </w:r>
          </w:p>
        </w:tc>
        <w:tc>
          <w:tcPr>
            <w:tcW w:w="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D667,117</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9/1/2026</w:t>
            </w: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Serrated bone cutting blade</w:t>
            </w:r>
          </w:p>
        </w:tc>
        <w:tc>
          <w:tcPr>
            <w:tcW w:w="10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29/446,074</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2/20/2013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D741481</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10/1/2029</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Hook blade with serrations</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29/468,786</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10/3/2013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D715434</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osteotome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29/468,789</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10/3/2013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D715936</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osteotome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29/468,790</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10/3/2013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D715435</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osteotome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29/468,793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10/3/2013</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D715436</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10/1/2028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osteotome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w:t>
            </w:r>
          </w:p>
        </w:tc>
        <w:tc>
          <w:tcPr>
            <w:tcW w:w="1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29/803,646</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8/13/2021</w:t>
            </w:r>
          </w:p>
        </w:tc>
        <w:tc>
          <w:tcPr>
            <w:tcW w:w="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D989309</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6/1/2038</w:t>
            </w:r>
          </w:p>
        </w:tc>
        <w:tc>
          <w:tcPr>
            <w:tcW w:w="10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Ultrasonic surgical blade</w:t>
            </w:r>
          </w:p>
        </w:tc>
        <w:tc>
          <w:tcPr>
            <w:tcW w:w="1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BoneScalpel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sectPr>
      <w:pgSz w:w="11900" w:h="16838" w:orient="portrait"/>
      <w:cols w:equalWidth="0" w:num="1">
        <w:col w:w="11060"/>
      </w:cols>
      <w:pgMar w:left="320" w:top="58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lvl w:ilvl="1">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lowerRoman"/>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lvl w:ilvl="1">
      <w:lvlJc w:val="left"/>
      <w:lvlText w:val="◦"/>
      <w:numFmt w:val="bullet"/>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4"/>
    </w:lvl>
  </w:abstractNum>
  <w:abstractNum w:abstractNumId="39">
    <w:nsid w:val="180115BE"/>
    <w:multiLevelType w:val="hybridMultilevel"/>
    <w:lvl w:ilvl="0">
      <w:lvlJc w:val="left"/>
      <w:lvlText w:val="(%1)"/>
      <w:numFmt w:val="lowerLetter"/>
      <w:start w:val="8"/>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31"/>
    </w:lvl>
  </w:abstractNum>
  <w:abstractNum w:abstractNumId="44">
    <w:nsid w:val="741226BB"/>
    <w:multiLevelType w:val="hybridMultilevel"/>
    <w:lvl w:ilvl="0">
      <w:lvlJc w:val="left"/>
      <w:lvlText w:val="(%1)"/>
      <w:numFmt w:val="lowerRoman"/>
      <w:start w:val="3"/>
    </w:lvl>
  </w:abstractNum>
  <w:abstractNum w:abstractNumId="45">
    <w:nsid w:val="D34B6A8"/>
    <w:multiLevelType w:val="hybridMultilevel"/>
    <w:lvl w:ilvl="0">
      <w:lvlJc w:val="left"/>
      <w:lvlText w:val="(%1)"/>
      <w:numFmt w:val="lowerRoman"/>
      <w:start w:val="2"/>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decimal"/>
      <w:start w:val="1"/>
    </w:lvl>
    <w:lvl w:ilvl="1">
      <w:lvlJc w:val="left"/>
      <w:lvlText w:val="(%2)"/>
      <w:numFmt w:val="lowerLetter"/>
      <w:start w:val="3"/>
    </w:lvl>
  </w:abstractNum>
  <w:abstractNum w:abstractNumId="52">
    <w:nsid w:val="310C50B3"/>
    <w:multiLevelType w:val="hybridMultilevel"/>
    <w:lvl w:ilvl="0">
      <w:lvlJc w:val="left"/>
      <w:lvlText w:val="%1."/>
      <w:numFmt w:val="decimal"/>
      <w:start w:val="10"/>
    </w:lvl>
    <w:lvl w:ilvl="1">
      <w:lvlJc w:val="left"/>
      <w:lvlText w:val="%2"/>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decimal"/>
      <w:start w:val="1"/>
    </w:lvl>
    <w:lvl w:ilvl="1">
      <w:lvlJc w:val="left"/>
      <w:lvlText w:val="(%2)"/>
      <w:numFmt w:val="lowerLetter"/>
      <w:start w:val="1"/>
    </w:lvl>
  </w:abstractNum>
  <w:abstractNum w:abstractNumId="57">
    <w:nsid w:val="4AD084E9"/>
    <w:multiLevelType w:val="hybridMultilevel"/>
    <w:lvl w:ilvl="0">
      <w:lvlJc w:val="left"/>
      <w:lvlText w:val="%1."/>
      <w:numFmt w:val="decimal"/>
      <w:start w:val="15"/>
    </w:lvl>
    <w:lvl w:ilvl="1">
      <w:lvlJc w:val="left"/>
      <w:lvlText w:val="%2"/>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lvl w:ilvl="1">
      <w:lvlJc w:val="left"/>
      <w:lvlText w:val="(%2)"/>
      <w:numFmt w:val="lowerLetter"/>
      <w:start w:val="3"/>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1"/>
    </w:lvl>
    <w:lvl w:ilvl="1">
      <w:lvlJc w:val="left"/>
      <w:lvlText w:val="(%2)"/>
      <w:numFmt w:val="lowerRoman"/>
      <w:start w:val="1"/>
    </w:lvl>
  </w:abstractNum>
  <w:abstractNum w:abstractNumId="67">
    <w:nsid w:val="6B94764"/>
    <w:multiLevelType w:val="hybridMultilevel"/>
    <w:lvl w:ilvl="0">
      <w:lvlJc w:val="left"/>
      <w:lvlText w:val="%1"/>
      <w:numFmt w:val="lowerLetter"/>
      <w:start w:val="1"/>
    </w:lvl>
    <w:lvl w:ilvl="1">
      <w:lvlJc w:val="left"/>
      <w:lvlText w:val="(%2)"/>
      <w:numFmt w:val="lowerRoman"/>
      <w:start w:val="4"/>
    </w:lvl>
  </w:abstractNum>
  <w:abstractNum w:abstractNumId="68">
    <w:nsid w:val="42C296BD"/>
    <w:multiLevelType w:val="hybridMultilevel"/>
    <w:lvl w:ilvl="0">
      <w:lvlJc w:val="left"/>
      <w:lvlText w:val="(%1)"/>
      <w:numFmt w:val="lowerLetter"/>
      <w:start w:val="4"/>
    </w:lvl>
    <w:lvl w:ilvl="1">
      <w:lvlJc w:val="left"/>
      <w:lvlText w:val="%2"/>
      <w:numFmt w:val="lowerRoman"/>
      <w:start w:val="1"/>
    </w:lvl>
  </w:abstractNum>
  <w:abstractNum w:abstractNumId="69">
    <w:nsid w:val="168E121F"/>
    <w:multiLevelType w:val="hybridMultilevel"/>
    <w:lvl w:ilvl="0">
      <w:lvlJc w:val="left"/>
      <w:lvlText w:val="(%1)"/>
      <w:numFmt w:val="lowerLetter"/>
      <w:start w:val="1"/>
    </w:lvl>
    <w:lvl w:ilvl="1">
      <w:lvlJc w:val="left"/>
      <w:lvlText w:val="(%2)"/>
      <w:numFmt w:val="lowerLetter"/>
      <w:start w:val="9"/>
    </w:lvl>
  </w:abstractNum>
  <w:abstractNum w:abstractNumId="70">
    <w:nsid w:val="1EBA5D23"/>
    <w:multiLevelType w:val="hybridMultilevel"/>
    <w:lvl w:ilvl="0">
      <w:lvlJc w:val="left"/>
      <w:lvlText w:val="(%1)"/>
      <w:numFmt w:val="lowerRoman"/>
      <w:start w:val="2"/>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7" Type="http://schemas.openxmlformats.org/officeDocument/2006/relationships/image" Target="media/image170.png"/><Relationship Id="rId199" Type="http://schemas.openxmlformats.org/officeDocument/2006/relationships/image" Target="media/image171.png"/><Relationship Id="rId215"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177" Type="http://schemas.openxmlformats.org/officeDocument/2006/relationships/hyperlink" Target="https://www.sec.gov/Archives/edgar/data/1665988/000119312521100715/d167123dex101.htm" TargetMode="External"/><Relationship Id="rId178" Type="http://schemas.openxmlformats.org/officeDocument/2006/relationships/hyperlink" Target="https://www.sec.gov/Archives/edgar/data/1665988/000119312521229264/d155859dex21.htm" TargetMode="External"/><Relationship Id="rId179" Type="http://schemas.openxmlformats.org/officeDocument/2006/relationships/hyperlink" Target="https://www.sec.gov/Archives/edgar/data/1665988/000119312523145668/d466754dex21.htm" TargetMode="External"/><Relationship Id="rId180" Type="http://schemas.openxmlformats.org/officeDocument/2006/relationships/hyperlink" Target="https://www.sec.gov/Archives/edgar/data/1665988/000162828024042266/exhibit21-purchaseandsalea.htm" TargetMode="External"/><Relationship Id="rId181" Type="http://schemas.openxmlformats.org/officeDocument/2006/relationships/hyperlink" Target="https://www.sec.gov/Archives/edgar/data/1665988/000119312524162669/d775079dex31.htm" TargetMode="External"/><Relationship Id="rId182" Type="http://schemas.openxmlformats.org/officeDocument/2006/relationships/hyperlink" Target="https://www.sec.gov/Archives/edgar/data/1665988/000119312524162669/d775079dex32.htm" TargetMode="External"/><Relationship Id="rId183" Type="http://schemas.openxmlformats.org/officeDocument/2006/relationships/hyperlink" Target="https://www.sec.gov/Archives/edgar/data/1665988/000119312521011667/d58473dex41.htm" TargetMode="External"/><Relationship Id="rId184" Type="http://schemas.openxmlformats.org/officeDocument/2006/relationships/hyperlink" Target="https://www.sec.gov/Archives/edgar/data/1665988/000162828025011831/exhibit42-2024.htm" TargetMode="External"/><Relationship Id="rId185" Type="http://schemas.openxmlformats.org/officeDocument/2006/relationships/hyperlink" Target="https://www.sec.gov/Archives/edgar/data/1665988/000119312521045802/d134776dex102.htm" TargetMode="External"/><Relationship Id="rId186" Type="http://schemas.openxmlformats.org/officeDocument/2006/relationships/hyperlink" Target="https://www.sec.gov/Archives/edgar/data/1665988/000119312521045802/d134776dex103.htm" TargetMode="External"/><Relationship Id="rId188" Type="http://schemas.openxmlformats.org/officeDocument/2006/relationships/hyperlink" Target="https://www.sec.gov/Archives/edgar/data/1665988/000119312521045802/d134776dex101.htm" TargetMode="External"/><Relationship Id="rId189" Type="http://schemas.openxmlformats.org/officeDocument/2006/relationships/hyperlink" Target="https://www.sec.gov/Archives/edgar/data/1665988/000119312521045802/d134776dex104.htm" TargetMode="External"/><Relationship Id="rId190" Type="http://schemas.openxmlformats.org/officeDocument/2006/relationships/hyperlink" Target="https://www.sec.gov/Archives/edgar/data/1665988/000119312524165735/d821942dex101.htm" TargetMode="External"/><Relationship Id="rId191" Type="http://schemas.openxmlformats.org/officeDocument/2006/relationships/hyperlink" Target="https://www.sec.gov/Archives/edgar/data/1665988/000119312521011667/d58473dex105.htm" TargetMode="External"/><Relationship Id="rId192" Type="http://schemas.openxmlformats.org/officeDocument/2006/relationships/hyperlink" Target="https://www.sec.gov/Archives/edgar/data/1665988/000119312521011667/d58473dex106.htm" TargetMode="External"/><Relationship Id="rId193" Type="http://schemas.openxmlformats.org/officeDocument/2006/relationships/hyperlink" Target="https://www.sec.gov/Archives/edgar/data/1665988/000119312521011667/d58473dex107.htm" TargetMode="External"/><Relationship Id="rId194" Type="http://schemas.openxmlformats.org/officeDocument/2006/relationships/hyperlink" Target="https://www.sec.gov/Archives/edgar/data/1665988/000119312521011667/d58473dex107a.htm" TargetMode="External"/><Relationship Id="rId195" Type="http://schemas.openxmlformats.org/officeDocument/2006/relationships/hyperlink" Target="https://www.sec.gov/Archives/edgar/data/1665988/000119312521028021/d58473dex107b.htm" TargetMode="External"/><Relationship Id="rId196" Type="http://schemas.openxmlformats.org/officeDocument/2006/relationships/hyperlink" Target="https://www.sec.gov/Archives/edgar/data/1665988/000119312521011667/d58473dex1011.htm" TargetMode="External"/><Relationship Id="rId197" Type="http://schemas.openxmlformats.org/officeDocument/2006/relationships/hyperlink" Target="https://www.sec.gov/Archives/edgar/data/1665988/000162828021022681/exhibit101-q32021.htm" TargetMode="External"/><Relationship Id="rId198" Type="http://schemas.openxmlformats.org/officeDocument/2006/relationships/hyperlink" Target="https://www.sec.gov/Archives/edgar/data/1665988/000119312521313521/d248592dex101.htm" TargetMode="External"/><Relationship Id="rId200" Type="http://schemas.openxmlformats.org/officeDocument/2006/relationships/hyperlink" Target="https://www.sec.gov/Archives/edgar/data/1665988/000162828022018848/exhibit101july2022amendmen.htm" TargetMode="External"/><Relationship Id="rId201" Type="http://schemas.openxmlformats.org/officeDocument/2006/relationships/hyperlink" Target="https://www.sec.gov/Archives/edgar/data/1665988/000162828023010151/a108damendmentno4tocredita.htm" TargetMode="External"/><Relationship Id="rId202" Type="http://schemas.openxmlformats.org/officeDocument/2006/relationships/hyperlink" Target="https://www.sec.gov/Archives/edgar/data/1665988/000119312524010779/d709819dex101.htm" TargetMode="External"/><Relationship Id="rId203" Type="http://schemas.openxmlformats.org/officeDocument/2006/relationships/hyperlink" Target="https://www.sec.gov/Archives/edgar/data/1665988/000119312525172192/d865758dex101.htm" TargetMode="External"/><Relationship Id="rId204" Type="http://schemas.openxmlformats.org/officeDocument/2006/relationships/hyperlink" Target="https://www.sec.gov/Archives/edgar/data/0001665988/000119312521011667/d58473dex1033.htm" TargetMode="External"/><Relationship Id="rId205" Type="http://schemas.openxmlformats.org/officeDocument/2006/relationships/hyperlink" Target="https://www.sec.gov/Archives/edgar/data/0001665988/000119312521011667/d58473dex1038.htm" TargetMode="External"/><Relationship Id="rId206" Type="http://schemas.openxmlformats.org/officeDocument/2006/relationships/hyperlink" Target="https://www.sec.gov/Archives/edgar/data/1665988/000119312521028021/d58473dex1044.htm" TargetMode="External"/><Relationship Id="rId207" Type="http://schemas.openxmlformats.org/officeDocument/2006/relationships/hyperlink" Target="https://www.sec.gov/Archives/edgar/data/1665988/000162828022022592/exhibit103bioventusinc2021.htm" TargetMode="External"/><Relationship Id="rId208" Type="http://schemas.openxmlformats.org/officeDocument/2006/relationships/hyperlink" Target="https://www.sec.gov/Archives/edgar/data/0001665988/000119312521035490/d58473dex1047.htm" TargetMode="External"/><Relationship Id="rId209" Type="http://schemas.openxmlformats.org/officeDocument/2006/relationships/hyperlink" Target="https://www.sec.gov/Archives/edgar/data/0001665988/000119312521035490/d58473dex1048.htm" TargetMode="External"/><Relationship Id="rId210" Type="http://schemas.openxmlformats.org/officeDocument/2006/relationships/hyperlink" Target="https://www.sec.gov/Archives/edgar/data/1665988/000162828025011831/exhibit1015.htm" TargetMode="External"/><Relationship Id="rId211" Type="http://schemas.openxmlformats.org/officeDocument/2006/relationships/hyperlink" Target="https://www.sec.gov/Archives/edgar/data/1665988/000162828025011831/exhibit1016.htm" TargetMode="External"/><Relationship Id="rId212" Type="http://schemas.openxmlformats.org/officeDocument/2006/relationships/hyperlink" Target="https://www.sec.gov/Archives/edgar/data/0001665988/000119312521035490/d58473dex1051.htm" TargetMode="External"/><Relationship Id="rId213" Type="http://schemas.openxmlformats.org/officeDocument/2006/relationships/hyperlink" Target="https://www.sec.gov/Archives/edgar/data/0001665988/000119312521035490/d58473dex1055.htm" TargetMode="External"/><Relationship Id="rId214" Type="http://schemas.openxmlformats.org/officeDocument/2006/relationships/hyperlink" Target="https://www.sec.gov/Archives/edgar/data/1665988/000119312521028021/d58473dex1046.htm" TargetMode="External"/><Relationship Id="rId216" Type="http://schemas.openxmlformats.org/officeDocument/2006/relationships/hyperlink" Target="https://www.sec.gov/Archives/edgar/data/1665988/000162828021023966/exhibit101.htm" TargetMode="External"/><Relationship Id="rId217" Type="http://schemas.openxmlformats.org/officeDocument/2006/relationships/hyperlink" Target="https://www.sec.gov/Archives/edgar/data/1665988/000162828025011831/exhibit1020aleaseamendment.htm" TargetMode="External"/><Relationship Id="rId218" Type="http://schemas.openxmlformats.org/officeDocument/2006/relationships/hyperlink" Target="https://www.sec.gov/Archives/edgar/data/1665988/000119312522057853/d151986dex101.htm" TargetMode="External"/><Relationship Id="rId219" Type="http://schemas.openxmlformats.org/officeDocument/2006/relationships/hyperlink" Target="https://www.sec.gov/Archives/edgar/data/1665988/000162828022008112/rsuinducement2022ex991.htm" TargetMode="External"/><Relationship Id="rId220" Type="http://schemas.openxmlformats.org/officeDocument/2006/relationships/hyperlink" Target="https://www.sec.gov/Archives/edgar/data/1665988/000162828022008112/optioninducement2022ex992.htm" TargetMode="External"/><Relationship Id="rId221" Type="http://schemas.openxmlformats.org/officeDocument/2006/relationships/hyperlink" Target="https://www.sec.gov/Archives/edgar/data/1665988/000162828023018472/exhibit103cartihealsettlem.htm" TargetMode="External"/><Relationship Id="rId222" Type="http://schemas.openxmlformats.org/officeDocument/2006/relationships/hyperlink" Target="https://www.sec.gov/Archives/edgar/data/1665988/000119312521011667/d58473dex109.htm" TargetMode="External"/><Relationship Id="rId223" Type="http://schemas.openxmlformats.org/officeDocument/2006/relationships/hyperlink" Target="https://www.sec.gov/Archives/edgar/data/1665988/000162828023018472/exhibit101pavesioconsultin.htm" TargetMode="External"/><Relationship Id="rId224" Type="http://schemas.openxmlformats.org/officeDocument/2006/relationships/hyperlink" Target="https://www.sec.gov/Archives/edgar/data/1665988/000162828023021758/exhibit101bioventusinc2023.htm" TargetMode="External"/><Relationship Id="rId225" Type="http://schemas.openxmlformats.org/officeDocument/2006/relationships/hyperlink" Target="https://www.sec.gov/Archives/edgar/data/1665988/000162828023021758/exhibit102formofrestricted.htm" TargetMode="External"/><Relationship Id="rId226" Type="http://schemas.openxmlformats.org/officeDocument/2006/relationships/hyperlink" Target="https://www.sec.gov/Archives/edgar/data/1665988/000119312523300412/d448507dex101.htm" TargetMode="External"/><Relationship Id="rId227" Type="http://schemas.openxmlformats.org/officeDocument/2006/relationships/hyperlink" Target="https://www.sec.gov/Archives/edgar/data/1665988/000119312523300412/d448507dex102.htm" TargetMode="External"/><Relationship Id="rId228" Type="http://schemas.openxmlformats.org/officeDocument/2006/relationships/hyperlink" Target="https://www.sec.gov/Archives/edgar/data/1665988/000119312523300412/d448507dex103.htm" TargetMode="External"/><Relationship Id="rId229" Type="http://schemas.openxmlformats.org/officeDocument/2006/relationships/hyperlink" Target="https://www.sec.gov/Archives/edgar/data/1665988/000162828025011831/exhibit191-2024.htm" TargetMode="External"/><Relationship Id="rId232" Type="http://schemas.openxmlformats.org/officeDocument/2006/relationships/hyperlink" Target="https://www.sec.gov/Archives/edgar/data/1665988/000162828024010376/exhibit971-compensation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2026-03-05T06:45:17Z</dcterms:created>
  <dcterms:modified xsi:type="dcterms:W3CDTF">2026-03-05T06:45:17Z</dcterms:modified>
</cp:coreProperties>
</file>