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7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6"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1680" w:hanging="502"/>
        <w:spacing w:after="0"/>
        <w:tabs>
          <w:tab w:leader="none" w:pos="1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28, 2026</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3480" w:right="1200" w:hanging="2302"/>
        <w:spacing w:after="0" w:line="396" w:lineRule="auto"/>
        <w:tabs>
          <w:tab w:leader="none" w:pos="167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001-37844</w:t>
      </w:r>
    </w:p>
    <w:p>
      <w:pPr>
        <w:spacing w:after="0" w:line="1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BIOVENTUS INC.</w:t>
      </w:r>
    </w:p>
    <w:p>
      <w:pPr>
        <w:spacing w:after="0" w:line="1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7"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1060" w:type="dxa"/>
            <w:vAlign w:val="bottom"/>
          </w:tcPr>
          <w:p>
            <w:pPr>
              <w:spacing w:after="0"/>
              <w:rPr>
                <w:sz w:val="18"/>
                <w:szCs w:val="18"/>
                <w:color w:val="auto"/>
              </w:rPr>
            </w:pPr>
          </w:p>
        </w:tc>
        <w:tc>
          <w:tcPr>
            <w:tcW w:w="3320" w:type="dxa"/>
            <w:vAlign w:val="bottom"/>
            <w:gridSpan w:val="2"/>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spacing w:after="0"/>
              <w:rPr>
                <w:sz w:val="18"/>
                <w:szCs w:val="18"/>
                <w:color w:val="auto"/>
              </w:rPr>
            </w:pPr>
          </w:p>
        </w:tc>
        <w:tc>
          <w:tcPr>
            <w:tcW w:w="430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81-0980861</w:t>
            </w:r>
          </w:p>
        </w:tc>
      </w:tr>
      <w:tr>
        <w:trPr>
          <w:trHeight w:val="243"/>
        </w:trPr>
        <w:tc>
          <w:tcPr>
            <w:tcW w:w="5660" w:type="dxa"/>
            <w:vAlign w:val="bottom"/>
            <w:gridSpan w:val="4"/>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1300" w:type="dxa"/>
            <w:vAlign w:val="bottom"/>
          </w:tcPr>
          <w:p>
            <w:pPr>
              <w:spacing w:after="0"/>
              <w:rPr>
                <w:sz w:val="21"/>
                <w:szCs w:val="21"/>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78"/>
        </w:trPr>
        <w:tc>
          <w:tcPr>
            <w:tcW w:w="438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4721 Emperor Boulevard, Suite 100</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320" w:type="dxa"/>
            <w:vAlign w:val="bottom"/>
            <w:gridSpan w:val="2"/>
          </w:tcPr>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Durham, North Carolina</w:t>
            </w:r>
          </w:p>
        </w:tc>
        <w:tc>
          <w:tcPr>
            <w:tcW w:w="1280" w:type="dxa"/>
            <w:vAlign w:val="bottom"/>
          </w:tcPr>
          <w:p>
            <w:pPr>
              <w:spacing w:after="0"/>
              <w:rPr>
                <w:sz w:val="18"/>
                <w:szCs w:val="18"/>
                <w:color w:val="auto"/>
              </w:rPr>
            </w:pPr>
          </w:p>
        </w:tc>
        <w:tc>
          <w:tcPr>
            <w:tcW w:w="4300" w:type="dxa"/>
            <w:vAlign w:val="bottom"/>
            <w:gridSpan w:val="2"/>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27703</w:t>
            </w:r>
          </w:p>
        </w:tc>
      </w:tr>
      <w:tr>
        <w:trPr>
          <w:trHeight w:val="216"/>
        </w:trPr>
        <w:tc>
          <w:tcPr>
            <w:tcW w:w="43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87"/>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(919) 474-6700</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2"/>
        </w:trPr>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10"/>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03"/>
        </w:trPr>
        <w:tc>
          <w:tcPr>
            <w:tcW w:w="10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4380" w:type="dxa"/>
            <w:vAlign w:val="bottom"/>
            <w:gridSpan w:val="3"/>
          </w:tcPr>
          <w:p>
            <w:pPr>
              <w:jc w:val="center"/>
              <w:ind w:right="959"/>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BVS</w:t>
            </w:r>
          </w:p>
        </w:tc>
        <w:tc>
          <w:tcPr>
            <w:tcW w:w="1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97"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4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27, 2026, there were 67,748,048 shares of Class A common stock outstanding and 15,786,737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BIOVENTUS INC.</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60" w:type="dxa"/>
            <w:vAlign w:val="bottom"/>
          </w:tcPr>
          <w:p>
            <w:pPr>
              <w:spacing w:after="0"/>
              <w:rPr>
                <w:sz w:val="20"/>
                <w:szCs w:val="20"/>
                <w:color w:val="auto"/>
              </w:rPr>
            </w:pPr>
          </w:p>
        </w:tc>
      </w:tr>
      <w:tr>
        <w:trPr>
          <w:trHeight w:val="43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66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Operations and Comprehensive Income (Loss) for the three months ended March 28,</w:t>
            </w:r>
          </w:p>
        </w:tc>
        <w:tc>
          <w:tcPr>
            <w:tcW w:w="6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2026 and March 29,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2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Balance Sheets as of March 28, 2026 and December 31,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2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Changes in Stockholders’ Equity for the three months ended March 28, 2026 and</w:t>
            </w:r>
          </w:p>
        </w:tc>
        <w:tc>
          <w:tcPr>
            <w:tcW w:w="66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March 29,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2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Cash Flows for the three months ended March 28, 2026 and March 29, 2025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24"/>
        </w:trPr>
        <w:tc>
          <w:tcPr>
            <w:tcW w:w="1020" w:type="dxa"/>
            <w:vAlign w:val="bottom"/>
          </w:tcPr>
          <w:p>
            <w:pPr>
              <w:spacing w:after="0"/>
              <w:rPr>
                <w:sz w:val="24"/>
                <w:szCs w:val="24"/>
                <w:color w:val="auto"/>
              </w:rPr>
            </w:pP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the Unaudited Consolidated Condensed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10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60" w:type="dxa"/>
            <w:vAlign w:val="bottom"/>
          </w:tcPr>
          <w:p>
            <w:pPr>
              <w:spacing w:after="0"/>
              <w:rPr>
                <w:sz w:val="24"/>
                <w:szCs w:val="24"/>
                <w:color w:val="auto"/>
              </w:rPr>
            </w:pPr>
          </w:p>
        </w:tc>
      </w:tr>
      <w:tr>
        <w:trPr>
          <w:trHeight w:val="44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1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5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1398"/>
        </w:trPr>
        <w:tc>
          <w:tcPr>
            <w:tcW w:w="1020" w:type="dxa"/>
            <w:vAlign w:val="bottom"/>
            <w:tcBorders>
              <w:bottom w:val="single" w:sz="8" w:color="9A9A9A"/>
            </w:tcBorders>
          </w:tcPr>
          <w:p>
            <w:pPr>
              <w:spacing w:after="0"/>
              <w:rPr>
                <w:sz w:val="24"/>
                <w:szCs w:val="24"/>
                <w:color w:val="auto"/>
              </w:rPr>
            </w:pPr>
          </w:p>
        </w:tc>
        <w:tc>
          <w:tcPr>
            <w:tcW w:w="9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expressly indicated or the context otherwise requires, references to “Bioventus,” “we,” “us,” “our,” the “Company,” and similar references refer to Bioventus Inc. and its consolidated subsidiaries, including Bioventus LLC (“BV LLC”).</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(“Exchange Act”), and Section 27A of the Securities Act of 1933, as amended (“Securities Act”),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including, without limitation, statements concerning: our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and actual results may differ materially from those set forth in the forward-looking statements. Important factors that may cause actual results to differ materially from current expectations include, among other things: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U.S. Food and Drug Administration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commercialize new products, line extensions or expanded indications; demand for our existing portfolio of products and any new products, line extensions or expanded indications depends on the continued and future acceptance of our products by physicians, patients, third-party payers and others in the medical community; the proposed down classification of non-invasive bone growth stimulators, including our EXOGEN system, by the FDA could increase future competition for bone growth stimulators and otherwise adversely affect the Company’s sales of EXOGEN; failure to achieve and maintain adequate levels of coverage and/or reimbursement for our products or future products, the procedures using our products, such as our hyaluronic acid (“HA”) viscosupplements, or future products we may seek to commercialize; pricing and other competitive factors; governments outside the United States might not provide coverage or reimbursement of our products; we compete and may compete in the future against other companies, some of which have longer 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issues relating to the supply of our products or their components due to product quality and regulatory compliance issues, including increased costs, disruptions of supply, shortages, contamination or mislabeling;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the other risks identified in our Annual Report on Form 10-K for the year ended December 31, 2025 as such factors may be updated from time to time in our other filings with the SEC which are accessible on the SEC’s website at www.sec.gov and the Investor Relations page of Bioventus’ website at https://ir.bioventus.com. You are urged to consider these risk factors carefully in evaluating forward-looking statements. Except to the extent required by law, the Company undertakes no obligation to update or revise any estimate or forward-looking statement for any reason,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Operations and Comprehensive Income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Months Ended March 28, 2026 and March 29, 2025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123,876</w:t>
            </w:r>
          </w:p>
        </w:tc>
      </w:tr>
      <w:tr>
        <w:trPr>
          <w:trHeight w:val="24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 (including depreciation and amortization of $10,087 and $10,265, respectively)</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40,820</w:t>
            </w:r>
          </w:p>
        </w:tc>
      </w:tr>
      <w:tr>
        <w:trPr>
          <w:trHeight w:val="21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8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7,509</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07"/>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8,286</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attributable to noncontrolling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Bioventus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Change in the fair value of cash flow hedges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Bioventus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per share of Class A common stock:</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70"/>
        </w:trPr>
        <w:tc>
          <w:tcPr>
            <w:tcW w:w="8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67,296,336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66,008,683</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70,008,291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66,008,683</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ind w:right="4020"/>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Consolidated Condensed Balance Sheets as of March 28, 2026 and December 31, 2025 </w:t>
      </w:r>
      <w:r>
        <w:rPr>
          <w:rFonts w:ascii="Times New Roman" w:cs="Times New Roman" w:eastAsia="Times New Roman" w:hAnsi="Times New Roman"/>
          <w:sz w:val="17"/>
          <w:szCs w:val="17"/>
          <w:b w:val="1"/>
          <w:bCs w:val="1"/>
          <w:color w:val="auto"/>
        </w:rPr>
        <w:t>(Amounts in thousands, except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128,303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272,842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368,419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650,539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683,559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130,242</w:t>
            </w: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160,380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278,951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455,112</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0 shares issued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250,000,000 shares authorized as of March 28, 2026</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December 31, 2025, 67,639,073 and 67,097,716 shares issued and outstanding as of</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7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28, 2026 and December 31, 2025, respectively</w:t>
            </w:r>
          </w:p>
        </w:tc>
        <w:tc>
          <w:tcPr>
            <w:tcW w:w="2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50,000,000 shares authorized,</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15,786,737 shares issued and outstanding as of March 28, 2026 and December 31, 2025</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520,851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(334,929)</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attributable to Bioventus Inc.</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228,447</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650,539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683,559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Changes in Stockholders’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Months Ended March 28, 2026 and March 29,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28, 2026</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67,097,716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520,851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44,342</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228,447</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541,357</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awards</w:t>
            </w: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0" w:type="dxa"/>
            <w:vAlign w:val="bottom"/>
          </w:tcPr>
          <w:p>
            <w:pPr>
              <w:spacing w:after="0"/>
              <w:rPr>
                <w:sz w:val="1"/>
                <w:szCs w:val="1"/>
                <w:color w:val="auto"/>
              </w:rPr>
            </w:pPr>
          </w:p>
        </w:tc>
      </w:tr>
      <w:tr>
        <w:trPr>
          <w:trHeight w:val="143"/>
        </w:trPr>
        <w:tc>
          <w:tcPr>
            <w:tcW w:w="20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83"/>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0" w:type="dxa"/>
            <w:vAlign w:val="bottom"/>
          </w:tcPr>
          <w:p>
            <w:pPr>
              <w:spacing w:after="0"/>
              <w:rPr>
                <w:sz w:val="1"/>
                <w:szCs w:val="1"/>
                <w:color w:val="auto"/>
              </w:rPr>
            </w:pPr>
          </w:p>
        </w:tc>
      </w:tr>
      <w:tr>
        <w:trPr>
          <w:trHeight w:val="214"/>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28,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67,639,073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522,912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234,265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Three Months Ended March 29, 2025</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0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vMerge w:val="restart"/>
          </w:tcPr>
          <w:p>
            <w:pPr>
              <w:spacing w:after="0"/>
              <w:rPr>
                <w:sz w:val="11"/>
                <w:szCs w:val="11"/>
                <w:color w:val="auto"/>
              </w:rPr>
            </w:pP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gridSpan w:val="4"/>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Comprehensive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65,758,341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508,092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(357,661)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37,664</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185,604</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473,047</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Change in noncontrolling</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allocation</w:t>
            </w:r>
          </w:p>
        </w:tc>
        <w:tc>
          <w:tcPr>
            <w:tcW w:w="9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2,414</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29,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66,231,388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510,422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185,479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r>
        <w:rPr>
          <w:rFonts w:ascii="Times New Roman" w:cs="Times New Roman" w:eastAsia="Times New Roman" w:hAnsi="Times New Roman"/>
          <w:sz w:val="12"/>
          <w:szCs w:val="1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Months Ended March 28, 2026 and March 29,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02"/>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disposals</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Unrealized loss (gain) on foreign currency fluctuations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(39,104)</w:t>
            </w: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on equity-based compensation</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 on revolver</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on revolver</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(18,780)</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41,582</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22,802</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6"/>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for purchase of property, plant and equipment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Unaudited Consolidated Condensed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unit and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Bioventus Inc. (together with its subsidiaries, the “Company”) was formed as a Delaware corporation as part of an initial public offering (“IPO”) in February 2021, conducted through what is commonly referred to as an umbrella partnership C Corporation (“UP-C”) structure. Bioventus Inc. functions as a holding company with no direct operations, material assets or liabilities other than the equity interest in Bioventus LLC and its subsidiaries (“BV LLC”). BV LLC is a limited liability company formed under the laws of the state of Delaware on November 23, 2011 and operates as a partnership. The Company has majority interest, sole voting interest, and controls the management of BV LLC. As a result, the Company consolidates the financial results of BV LLC and reports a noncontrolling interest representing the interest of BV LLC held by its continuing LLC owner.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global medical device company focused on helping patients recover and live life to the fullest by relieving pain and addressing musculoskeletal challenges through a diverse portfolio of high-quality, innovative, and clinically-proven solutions. The Company is headquartered in Durham, North Carolina and had approximately 940 employees at March 28,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w:t>
      </w:r>
    </w:p>
    <w:p>
      <w:pPr>
        <w:ind w:right="20" w:firstLine="8"/>
        <w:spacing w:after="0" w:line="260" w:lineRule="auto"/>
        <w:tabs>
          <w:tab w:leader="none" w:pos="2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13-week quarterly periods for fiscal year 2026 end on March 28, June 27, and September 26. Comparable periods for 2025 ended on March 29, June 28, and September 27. The first and fourth quarters may vary in length depending on the calendar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of the Company have been prepared in accordance with generally accepted accounting principles in the United States of America (“U.S. GAAP”) for interim financial information and with the instructions to Form 10-Q and Rule 10-01 of Regulation S-X. Pursuant to these rules and regulations, they do not include all information and notes required by U.S. GAAP for complete financial statements. In the opinion of management, all adjustments (consisting of normal recurring adjustments) considered necessary for a fair statement of the Company’s financial condition and results of operations have been included. Operating results for the periods presented are not necessarily indicative of the results that may be expected for the full year. As such, the information included in this report should be read in conjunction with the Company’s Annual Report on Form 10-K for the year ended December 31, 2025. The consolidated condensed balance sheets at December 31, 2025 have been derived from the audited consolidated financial statements of the Company, but do not include all the disclosures required by U.S. GAAP.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 lived assets,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2025-11 (“ASU 2025-11”), Interim Reporting (Topic 270). The amendments in this update result in a comprehensive list of interim disclosures that are required by U.S. GAAP. The objective of ASU 2025-11 is to provide clarity about the current requirements, rather than expand or reduce interim disclosure requirements. The amendments in ASU 2025-11 also include a disclosure principle that requires entities to disclose events since the end of the last annual reporting period that have a material impact on the entity. The intent of the disclosure principle, which is modeled after previous disclosure requirements, is to help entities determine whether disclosures not specified in Topic 270 should be disclosed in interim reporting periods. The amendments in ASU 2025-11 also clarify the applicability of Topic 270, the types of interim reporting, and the form and content of interim financial statements in accordance with U.S. GAAP. ASU 2025-11 is effective for interim reporting periods within annual reporting periods beginning after December 15, 2027. Early adoption is permitted and the amendments in ASU 2025-11 can be applied either prospectively or retrospectively to any or all prior periods presented in the financial statements. The Company is currently evaluating ASU 2025-11 to determine its impact on the Company’s consolidated condensed financial statements and disclosures, as well as the method and timing of adoption.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2025, the FASB issued Accounting Standards Update 2025-09 (“ASU 2025-09”), Derivatives and Hedging (Topic 815). The objective of ASU 2025-09 is to more closely align hedge accounting with the economics of an entity’s risk management activities. The amendments included in ASU 2025-09 intend to better reflect strategies in financial reporting by enabling entities to achieve and maintain hedge accounting for highly effective economic hedges of forecasted transactions by: (1) expanding the hedged risks permitted to be aggregated in a group of individually forecasted transactions, thereby enabling entities to apply hedge accounting to potentially broader portfolios of forecasted transactions; (2) establishing an operable model to facilitate the application of cash flow hedge accounting to forecasted interest payments on variable-rate debt instruments with contractual terms that permit the borrower to change the interest rate index and interest rate frequency upon which interest is accrued; (3) expanding hedge accounting for forecasted purchases and sales of nonfinancial assets; (4) updating the hedge accounting guidance to accommodate differences in the loan and swap markets that developed after the cessation of the London Interbank Offered Rate; and (5) eliminating the recognition and presentation mismatch related to a dual hedge strategy. ASU 2025-09 will be effective for all entities for annual reporting periods beginning after December 15, 2026, and interim reporting periods within those annual reporting periods. Early adoption is permitted on any date on or after the issuance of ASU 2025-09. The amendments under ASU 2025-09 must be adopted on a prospective basis for all hedging relationships. An entity may elect to adopt ASU 2025-09 for hedging relationships that exist as of the date of adoption and is permitted to modify certain critical terms of certain existing hedging relationships without dedesignating the hedge. The Company is currently evaluating ASU 2025-09 to determine its impact on the Company’s consolidated condensed financial statements and disclosures.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(“ASU 2025-06”), Intangibles—Goodwill and Other—Internal-Use Software (Subtopic 350-40). ASU 2025-06 eliminates prescriptive and sequential software development stages, thus requiring entities to capitalize software costs when both of the following occur: (1) management authorizes and commits to funding the software project; and (2) it is probable that the project will be completed and the software will be used to perform its intended function (referred to as the “probable-to-complete recognition method”). In evaluating the probable-to-complete recognition method, an entity must consider whether there is significant uncertainty associated with the development activities of the software (referred to as “significant development uncertainty”). The two factors to consider in determining whether there is significant development uncertainty are whether: (1) the software being developed has technological innovations or novel, unique, or unproven functions or features, and the uncertainty related to those technological innovations, functions, or features, if identified, has not been resolved through coding and testing; and (2) the company has determined what it needs the software to do (for example, functions or features), including whether the company has identified or continues to substantially revise the software’s significant performance requirements. ASU 2025-06 specifies that the disclosures in Subtopic 360-10, Property, Plant, and Equipment—Overall are required for all capitalized internal-use software costs, regardless of how the company presents those costs in the financial statements. Additionally, ASU 2025-06 clarifies that the intangibles disclosures are not required for capitalized internal-use software costs. Further, ASU 2025-06 supersedes the website development costs guidance and incorporates the recognition requirements for website-specific development costs from Subtopic 350-50 into Subtopic 350-40. ASU 2025-06 will be effective for all entities for annual reporting periods beginning after December 15, 2027, and interim reporting periods within those annual reporting periods. Early adoption is permitted as of the beginning of an annual reporting period. The amendments under ASU 2025-06 may be adopted prospectively, retrospectively, or with a modified transition adoption for certain in-process projects. The Company is currently evaluating ASU 2025-06 to determine its impact on the Company’s consolidated condensed financial statements and disclosures, as well as the method and timing of adoption.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(“ASU 2024-03”), Income Statement—Reporting Comprehensive Income— Expense Disaggregation Disclosures, which requires additional disclosures regarding income statement expense categories. The additional disclosures will further disaggregate relevant expense captions in tabular form within the notes to the consolidated condensed financial statements because they include one or more expense categories such as: (1) purchases of inventory, (2) employee compensation, (3) depreciation, (4) intangible asset amortization and (5) depreciation, depletion and amortization recognized as part of oil- and gas-producing activities or other types of depletion expenses. ASU 2024-03 also requires: (i) disclosure of certain amounts that are already required to be disclosed under current requirements in the same disclosure as the other disaggregation requirements; (ii) a qualitative description of the amount remaining in relevant expense captions that are not separately disaggregated quantitatively; and (iii) disclosure of the definition of and the total amount of selling expenses. In January 2025, the FASB issued Accounting Standards Update 2025-01, Income Statement—Reporting Comprehensive Income—Expense Disaggregation Disclosures: Clarifying the Effective Date, further defining that ASU 2024-03 is effective for fiscal years beginning after December 15, 2026, and interim periods within the annual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currently evaluating ASU 2024-03 to determine the method of adoption and its impact on the Company’s disclosures. The Company plans to adopt ASU 2024-03 in its Annual Report on Form 10-K for the fiscal year ending December 31, 2027. The Company expects that further disaggregation of income statement captions will be necessary, which will be disclosed in the notes to the consolidated condensed financial statements upon the adoption of ASU 2024-03.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Balance Sheet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net consists of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allowances,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short-term nature of the Company’s receivables, the estimate of expected credit losses is based on aging of its accounts receivable balances. The allowance is adjusted on a specific identification basis for certain accounts as well as pooling of accounts with similar characteristics. The Company has a diverse customer base and had one customer representing approximately 23.4% and 28.1% of the accounts receivable balance as of March 28, 2026 and December 31, 2025, respectively. Historically, the Company’s reserves have been adequate to cover credit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0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deductions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and commission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16,852</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Divestitures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2024, the Company completed the sale of certain products within its advanced rehabilitation business, including the L100, L300 Go, L360, H200, Vector Gait &amp; Safety System and Bioness Integrated Therapy System (collectively, the “Advanced Rehabilitation Business”). The divestiture aligns with the Company’s focus on core operations and the Advanced Rehabilitation Business required additional research and development expenditures to achieve its next stage of growth. The Company may receive up to $20,000 in contingent earn-out payments based on the achievement of certain revenue and financial performance thresholds related to the Advanced Rehabilitation Business during the fiscal year ending December 31,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Financial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Credit Agreement</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Term Loan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23"/>
        </w:trPr>
        <w:tc>
          <w:tcPr>
            <w:tcW w:w="78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278,951</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the Company entered into a Credit Agreement (the “2025 Credit Agreement”) with Wells Fargo Bank, National Association, and a syndicate of financial institutions and other entities (collectively, the “Lenders”). The 2025 Credit Agreement consists of a $300,000 term loan facility (the “2025 Term Loan”) and a $100,000 revolving credit facility (the “2025 Revolver” and, together with the 2025 Term Loan, the “2025 Term Loan Facilities”).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the 2025 Term Loan, borrowings of $30,000 under the 2025 Revolver, and $2,562 in available cash were used to repay the outstanding balance under the 2019 Credit and Guaranty Agreement, as amended, which totaled $332,562 as of July 31, 2025.</w:t>
      </w:r>
    </w:p>
    <w:p>
      <w:pPr>
        <w:spacing w:after="0" w:line="1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Company evaluated the refinancing of the 2019 Credit and Guaranty Agreement on a creditor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creditor basis. Transactions with continuing lenders were recognized as modifications of existing debt. In relation to the new lender, the transaction was recognized as the issuance of new debt. The Company accounted for transactions with exiting lenders as debt extinguishments.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2025 Credit Agreement, the Company received cash proceeds of $28,125 from a new creditor and $5,078, net of repayments, from several continuing creditors. In connection with the termination of the 2019 Credit and Guaranty Agreement, the Company paid $65,765, primarily to exiting creditors, with a portion paid to a continuing creditor that was partially extinguished. The Company recorded an original issue discount of $1,296 related to the 2025 Credit Agreement, which was capitalized within the consolidated condensed balance sheets. These capitalized discounts are amortized as interest expense, net, on a straight-line basis over the term of the 2025 Term Loan Facilities, which approximates the effective interest method. The majority of the capitalized discounts originated from loans with continuing creditors.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28, 2026, the outstanding balance on the 2025 Term Loan was $272,076, net of discount of $1,635 and deferred financing costs of $539. These amounts include portions of the original issue discounts and deferred financing costs attributable to returning Lenders from the 2019 Credit and Guaranty Agreement. Interest expense, net includes deferred cost amortization of $163 and $381 for the three months ended March 28, 2026 and March 29, 2025, respectively. The effective interest rate on the 2025 Term Loan was 5.67% as of March 28,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Loan and 2025 Revolver mature on July 31, 2030 (“Maturity”). On March 27, 2026, the Company made a discretionary prepayment of $22,000 on the 2025 Term Loan that reduced the final payment due at Maturity. The remaining scheduled principal payments for the 2025 Term Loan as of March 28, 2026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2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Scheduled Quarterly Payments</w:t>
            </w:r>
            <w:r>
              <w:rPr>
                <w:rFonts w:ascii="Times New Roman" w:cs="Times New Roman" w:eastAsia="Times New Roman" w:hAnsi="Times New Roman"/>
                <w:sz w:val="18"/>
                <w:szCs w:val="18"/>
                <w:b w:val="1"/>
                <w:bCs w:val="1"/>
                <w:color w:val="auto"/>
                <w:vertAlign w:val="superscript"/>
              </w:rPr>
              <w:t>(a)</w:t>
            </w:r>
          </w:p>
        </w:tc>
        <w:tc>
          <w:tcPr>
            <w:tcW w:w="21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Final payment at Maturity</w:t>
            </w:r>
          </w:p>
        </w:tc>
        <w:tc>
          <w:tcPr>
            <w:tcW w:w="4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206,750</w:t>
            </w:r>
          </w:p>
        </w:tc>
      </w:tr>
    </w:tbl>
    <w:p>
      <w:pPr>
        <w:spacing w:after="0" w:line="14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Scheduled quarterly payments occur on March 31, June 30, September 30, and December 31 of each year.</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2025 Term Loan, using the midpoint of the Bloomberg Valuation, was $261,566 as of March 28, 2026. This is classified as a Level 2 instrument within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- 2025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Loan and the 2025 Revolver permit the Company to elect either the Secured Overnight Financing Rate (“SOFR”) or the Base Rate (“BR”) option for all or portions of the borrowings. Both rate options are calculated using a base interest rate plus a margin, which is determined based on the Company’s leverage ratio, which is the ratio of consolidated net indebtedness to consolidated EBITDA, as specified in the 2025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 borrowings accrue interest based on the Federal Funds Rate plus 0.50%, with interest payments due on the last day of each calendar quarter. SOFR borrowings accrue interest over a designated interest period (“Interest Period”) of one, three or six months at the Company’s discretion. Interest is payable on the last day of each Interest Period, or every three months for Interest Periods longer than three months. The applicable interest margins under the 2025 Credit Agreement are 2.50% and 1.50% for SOFR and BR loans,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interest margin is subject to adjustment based on a pricing grid, which reflects changes in the Company’s leverage ratio following delivery of quarterly financial statements to the Lenders: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336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1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BR</w:t>
            </w:r>
          </w:p>
        </w:tc>
        <w:tc>
          <w:tcPr>
            <w:tcW w:w="1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23"/>
        </w:trPr>
        <w:tc>
          <w:tcPr>
            <w:tcW w:w="4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2.00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 to 1.00 &lt; 2.50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 to 1.00 &lt; 3.00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3.00 to 1.00 &lt; 3.50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3.50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Revolver and Letters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on the average daily amount of the unused revolving commitment, inclusive of revolving loans, swingline loans, and letters of credit (“LOC”). The commitment fee is payable quarterly in arrears on the last day of each calendar quarter and at Maturity. The commitment fee rate is subject to adjustment based on the Company’s leverage ratio. Swingline loans are available as BR option loans and total LOC availability is limited to $7,500 under the 2025 Credit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28, 2026, the Company had three LOCs outstanding, reducing LOC capacity to approximately $5,893. All outstanding LOCs incur fees equal to the interest margin for SOFR based loans under the 2025 Revolver, applied to the undrawn and unexpired amount of each LOC. These LOC fees are payable quarterly in arrears. As of December 31, 2025, the Company had $100,000 available under the 2025 Revolver, excluding the effect of outstanding LOCs.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- 2025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the ability of the Company to, subject to negotiated exceptions, incur additional indebtedness, liens on its assets, engage in acquisitions or dispositions, pay dividends or make other distributions, enter into transactions with affiliated persons, make investments, change the nature of its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quarterly ratio of 3.50 to 1.00. The Company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The Company does not expect any of these covenants or restrictions to affect or limit its ability to conduct business in the ordinary course.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the financial covenants under the 2025 Credit Agreement as of March 28,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two interest rate swaps to mitigate the interest rate risk associated with its floating-rate SOFR-based borrowings under the 2025 Credit Agreement. Under the terms of the swaps, the Company pays a fixed interest rate in exchange for SOFR-based variable interest throughout the life of the instruments, the majority of which expire July 31, 2028. The interest rate swaps have a weighted average fixed interest rate of 3.60% and an aggregate notional value of $150,000, or 50.0% of the initial 2025 Term Loan. Refer to </w:t>
      </w:r>
      <w:r>
        <w:rPr>
          <w:rFonts w:ascii="Times New Roman" w:cs="Times New Roman" w:eastAsia="Times New Roman" w:hAnsi="Times New Roman"/>
          <w:sz w:val="18"/>
          <w:szCs w:val="18"/>
          <w:i w:val="1"/>
          <w:iCs w:val="1"/>
          <w:color w:val="auto"/>
        </w:rPr>
        <w:t>Note 5. Fair Value Measurements</w:t>
      </w:r>
      <w:r>
        <w:rPr>
          <w:rFonts w:ascii="Times New Roman" w:cs="Times New Roman" w:eastAsia="Times New Roman" w:hAnsi="Times New Roman"/>
          <w:sz w:val="18"/>
          <w:szCs w:val="18"/>
          <w:color w:val="auto"/>
        </w:rPr>
        <w:t xml:space="preserve"> for additional information regarding the valuation of the interest rate swaps.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8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The process for determining fair value has not changed from that described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 Company does not have any assets or liabilities measured at fair value using Level 1 or Level 3 inputs. The Company’s interest rate swaps, which are measured using Level 2 inputs, were in an asset position of $9 as of March 28, 2026, compared to a liability position of $991 as of December 31, 2025. Interest rate swap assets and liabilities are recorded in prepaid and other current assets and accrued liabilities, respectively, within the consolidated condensed balance sheets.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interest rate swaps designated as cash flow hedges to manage exposure to variability in interest payments on its variable-rate debt. The fair value of these instruments represents the amount at which the swaps could be settled in an orderly transaction. This value is based on estimates derived from a quantitative regression analysis using Level 2 inputs, and is validated through comparisons with estimates provided by counterparties. Fair value measurements incorporate credit valuation adjustments to reflect the potential nonperformance or credit risk of both the Company and its counterparties.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effectiveness of its hedge instruments quarterly and both instruments were effective as of March 28, 2026. The Company does not hold or issue derivative instruments for trading purposes. Cash flows associated with hedging instruments are presented in the same category in the statement of cash flows as those of the hedged item. Accordingly, settlements of interest rate swaps are classified as operating activities, consistent with the classification of interest payments on the related debt.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interest rate swaps are recorded each period in either accumulated other comprehensive income (loss) (“AOCI”) within the consolidated condensed balance sheets or as interest expense, net within the consolidated condensed statements of operations and comprehensive income (loss), depending on the effectiveness of the hedge.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changes deemed effective are recorded in AOCI and subsequently reclassified into interest expense, net, during the same period in which the hedged transaction impacts earnings. Any portion of the fair value determined to be ineffective is recognized immediately in interest expense, net within the consolidated condensed statements of operations and comprehensive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cash flow hedge activity recognized in AOCI for the three months ended March 28, 2026:</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 w:lineRule="exact"/>
        <w:rPr>
          <w:sz w:val="20"/>
          <w:szCs w:val="20"/>
          <w:color w:val="auto"/>
        </w:rPr>
      </w:pPr>
    </w:p>
    <w:p>
      <w:pPr>
        <w:ind w:left="20"/>
        <w:spacing w:after="0"/>
        <w:tabs>
          <w:tab w:leader="none" w:pos="9500" w:val="left"/>
          <w:tab w:leader="none" w:pos="10740" w:val="left"/>
        </w:tabs>
        <w:rPr>
          <w:sz w:val="20"/>
          <w:szCs w:val="20"/>
          <w:color w:val="auto"/>
        </w:rPr>
      </w:pPr>
      <w:r>
        <w:rPr>
          <w:rFonts w:ascii="Times New Roman" w:cs="Times New Roman" w:eastAsia="Times New Roman" w:hAnsi="Times New Roman"/>
          <w:sz w:val="18"/>
          <w:szCs w:val="18"/>
          <w:color w:val="auto"/>
        </w:rPr>
        <w:t>Cash flow hedge fair value gain</w:t>
      </w:r>
      <w:r>
        <w:rPr>
          <w:rFonts w:ascii="Times New Roman" w:cs="Times New Roman" w:eastAsia="Times New Roman" w:hAnsi="Times New Roman"/>
          <w:sz w:val="23"/>
          <w:szCs w:val="23"/>
          <w:color w:val="auto"/>
          <w:vertAlign w:val="superscript"/>
        </w:rPr>
        <w: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1,000</w:t>
      </w:r>
    </w:p>
    <w:p>
      <w:pPr>
        <w:spacing w:after="0" w:line="90" w:lineRule="exact"/>
        <w:rPr>
          <w:sz w:val="20"/>
          <w:szCs w:val="20"/>
          <w:color w:val="auto"/>
        </w:rPr>
      </w:pPr>
    </w:p>
    <w:p>
      <w:pPr>
        <w:ind w:left="660" w:right="20" w:hanging="328"/>
        <w:spacing w:after="0" w:line="229" w:lineRule="auto"/>
        <w:tabs>
          <w:tab w:leader="none" w:pos="659"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total change in fair value of cash flow hedges recognized during the period, of which $190 was recognized in AOCI attributable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income tax benefit or expense associated with the Company’s interest rate swaps or reclassifications out of AOCI during the three months ended March 28, 2026. The Company maintains a full valuation allowance against its deferred tax assets.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payables and receivables under the interest rate swaps are accrued and recorded as adjustments to interest expense, net in the consolidated condensed statements of operations and comprehensive income (loss).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Equity-Based Compensation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 equity-based compensation plan (the “2021 Plan”), which allows for the issuance of nonqualified stock options, restricted stock, dividend equivalents, restricted stock units (“RSUs”), performance restricted stock units (“PRSUs”), and other stock-based and cash awards (collectively, the “2021 Plan Awards”). As of March 28, 2026, 26,963,662 shares of Class A common stock have been authorized to be awarded under the 2021 Plan and 11,817,142 shares were available for 2021 Plan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operates the 2023 Retention Equity Award Plan (the “2023 Plan” and, together with the 2021 Plan, the “Plans”), the purpose of which is to retain and motivate critical personnel over the short-term by providing them additional incentives in the form of RSUs (the “Retention Awards” and together with the “2021 Plan Awards,” the “Awards”). As of March 28, 2026, 600,000 shares of Class A common stock were authorized to be awarded under the 2023 Plan and 69,050 shares were available for Retention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Activity under the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Equity-based compensation, net for Awards granted under the Plans for the three months ended March 28, 2026 and March 29, 2025 totaled $3,264 and $2,414, respectively. The expense is primarily included in selling, general and administrative expense with a nominal amount in research and development expense within the consolidated condensed statements of operations and comprehensive income (loss), based upon the classification of the employee. There were no income tax benefits related to equity-based compensation expense for the three months ended March 28, 2026 and March 29,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28, 2026, the Company granted time-based RSUs which vest at various dates through March 13, 2030. RSU compensation expense is recognized over the vesting period, which is typically between 1 and 4 years. Unamortized compensation expense related to RSUs totaled $22,381 at March 28, 2026, and is expected to be recognized over a weighted-average period of approximately 3.57 years. A summary of the RSU award activity for the three months ended March 28, 2026 is as follows (number of units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28,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28, 2026, the Company granted PRSUs subject to a 3-year cliff vesting period, contingent upon the achievement of a designated market condition at the end of the vesting term. The market condition is based on the Company’s relative total shareholder return (“TSR”). Compensation expense related to PRSUs is recognized on a straight-line basis over the 3-year vesting period.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The number of shares of Class A common stock issuable upon vesting of the PRSUs is determined based on achievement of the TSR. Actual shares issued may range from 0% to 200% of the target award granted.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Unamortized compensation expense related to PRSUs totaled $6,031 at March 28, 2026, and is expected to be recognized over a weighted-average period of approximately 2.65 years. A summary of PRSU award activity for the three months ended March 28, 2026 is as follows (number of units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28,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28, 2026, the Company granted time-based stock options which vest over 1 to 4 years following the date of grant and expire within 10 years. The fair value of time-based stock options is determined using the Black-Scholes valuation model, with such value recognized as expense over the service period, which is typically 1 to 4 years, net of actual forfeitures. A summary of the Company’s assumptions used in determining the fair value of the stock options granted during the three months ended March 28, 2026 is shown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- 39.7%</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months ended March 28, 2026 was $3.93 per share. The expected term of the options granted is estimated using the simplified method. Expected volatility is based on the historical volatility of the peer Company’s common stock. The risk-free interest rate is determined based upon a constant U.S. Treasury security rate with a contractual life that approximates the expected term of the option. Unamortized compensation expense related to the options totaled $6,004 at March 28, 2026, and is expected to be recognized over a weighted-average period of approximately 3.53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 for the three months ended March 28, 2026 (number of options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3"/>
                <w:szCs w:val="13"/>
                <w:color w:val="auto"/>
              </w:rPr>
            </w:pPr>
          </w:p>
        </w:tc>
        <w:tc>
          <w:tcPr>
            <w:tcW w:w="14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7"/>
                <w:szCs w:val="17"/>
                <w:color w:val="auto"/>
              </w:rPr>
            </w:pPr>
          </w:p>
        </w:tc>
        <w:tc>
          <w:tcPr>
            <w:tcW w:w="1460" w:type="dxa"/>
            <w:vAlign w:val="bottom"/>
          </w:tcPr>
          <w:p>
            <w:pPr>
              <w:jc w:val="right"/>
              <w:ind w:right="517"/>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28,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and vested at March 28, 2026</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2,953</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hanging="328"/>
        <w:spacing w:after="0" w:line="235"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is based upon the difference between the Company’s closing stock price at the date of the consolidated condensed balance sheets and the exercise price of the stock option for in-the-money stock options. The intrinsic value of outstanding stock options fluctuates based upon the trading value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Stockholders’ Equity</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16, 2021, the Company closed an IPO of 9,200,000 shares of Class A common stock through an UP-C structure with BV LLC. In connection with the IPO, the Company amended and restated the limited liability agreement of BV LLC (“BV LLC Agreement”) to provide for a new single class of common membership interests in BV LLC (“LLC Interests”) and exchange all of the existing membership interests in BV LLC (the “Original BV LLC Owners”) for new LLC Interests. The Company also amended its certificate of incorporation to authorize the following shares: (i) 250,000,000 shares of Class A common stock with a par value of $0.001 per share; (ii) 50,000,000 shares of Class B common stock with a par value of $0.001 per share, which have voting rights but no economic interest, and some of which were issued to the Original BV LLC Owners; and (iii) 10,000,000 shares of undesignated preferred stock that may be issued from time to time by the Company’s board of directors. In connection with the completion of the IPO, the Company acquired, by merger, certain entities that were part of the Original BV LLC Owners (“Former BV LLC Owners”), for which the Company issued 31,838,589 Class A common stock as merger consideration (“IPO Mergers”) and cancelled the Class B common stock held by such Former BV LLC Owners. The IPO Mergers are deemed to be a recapitalization transaction.</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Holders of the Company’s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Smith &amp; Nephew, Inc. (the “Continuing LLC Owner”). Shares of Class B common stock are transferable only together with an equal number of LLC Interests. Shares of Class B common stock will be canceled on a one-for-one basis upon the redemption or exchange of any outstanding LLC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any redemption pursuant to the BV LLC Agreement, the Company will receive a corresponding number of LLC Interests, increasing its ownership interest in BV LLC. Future redemptions of LLC Interests will result in a change in ownership and reduce the amount recorded as noncontrolling interest and increase additional paid-in capital. There were no redemptions during the three months ended March 28, 2026 or during the year ended December 31, 2025. The following table summarizes the ownership interest in BV LLC as of March 28, 2026 and December 31, 2025 (number of units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540" w:type="dxa"/>
            <w:vAlign w:val="bottom"/>
            <w:gridSpan w:val="4"/>
          </w:tcPr>
          <w:p>
            <w:pPr>
              <w:ind w:left="12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44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26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426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Ownership %</w:t>
            </w:r>
          </w:p>
        </w:tc>
      </w:tr>
      <w:tr>
        <w:trPr>
          <w:trHeight w:val="37"/>
        </w:trPr>
        <w:tc>
          <w:tcPr>
            <w:tcW w:w="42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0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owned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Bioventus Inc.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67,639</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67,098</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r>
      <w:tr>
        <w:trPr>
          <w:trHeight w:val="230"/>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LLC Owner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3"/>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83,426</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82,885</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885"/>
        </w:trPr>
        <w:tc>
          <w:tcPr>
            <w:tcW w:w="4260" w:type="dxa"/>
            <w:vAlign w:val="bottom"/>
          </w:tcPr>
          <w:p>
            <w:pPr>
              <w:spacing w:after="0"/>
              <w:rPr>
                <w:sz w:val="24"/>
                <w:szCs w:val="2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Earnings Per Share</w:t>
      </w:r>
    </w:p>
    <w:p>
      <w:pPr>
        <w:spacing w:after="0" w:line="1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of Class A common stock for the periods presented (amounts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Bioventus Inc. Class A common shareholders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weighted-average shares of Class A common stock outstanding</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67,296,336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66,008,683</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effects of:</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6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weighted-average shares of Class A common stock outstanding</w:t>
            </w: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70,008,291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66,008,683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13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dilutive effect of both restricted stock units and performance restricted stock units.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Class B common stock do not share in the losses of the Company and are therefore not participating securities. As such, separate presentation of basic and diluted losses per share of Class B common stock under the two-class method have not been presented.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number of weighted-average potentially dilutive shares were excluded from the calculation of diluted net income (loss) per share because the effect of including such potentially dilutive shares would have been antidilutive upon conversion: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360" w:type="dxa"/>
            <w:vAlign w:val="bottom"/>
            <w:gridSpan w:val="3"/>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7880" w:type="dxa"/>
            <w:vAlign w:val="bottom"/>
          </w:tcPr>
          <w:p>
            <w:pPr>
              <w:spacing w:after="0"/>
              <w:rPr>
                <w:sz w:val="16"/>
                <w:szCs w:val="16"/>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29"/>
        </w:trPr>
        <w:tc>
          <w:tcPr>
            <w:tcW w:w="78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LLC Interests held by Continuing LLC Owner</w:t>
            </w:r>
            <w:r>
              <w:rPr>
                <w:rFonts w:ascii="Times New Roman" w:cs="Times New Roman" w:eastAsia="Times New Roman" w:hAnsi="Times New Roman"/>
                <w:sz w:val="23"/>
                <w:szCs w:val="23"/>
                <w:color w:val="auto"/>
                <w:vertAlign w:val="superscript"/>
              </w:rPr>
              <w:t>(a)</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r>
      <w:tr>
        <w:trPr>
          <w:trHeight w:val="229"/>
        </w:trPr>
        <w:tc>
          <w:tcPr>
            <w:tcW w:w="7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(b)</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2,303,205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1,833,481</w:t>
            </w:r>
          </w:p>
        </w:tc>
      </w:tr>
      <w:tr>
        <w:trPr>
          <w:trHeight w:val="230"/>
        </w:trPr>
        <w:tc>
          <w:tcPr>
            <w:tcW w:w="7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(c)</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390,805</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28,625</w:t>
            </w:r>
          </w:p>
        </w:tc>
      </w:tr>
      <w:tr>
        <w:trPr>
          <w:trHeight w:val="223"/>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18,480,747</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17,648,843</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55"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of Class A common stock reserved for future issuance upon redemption or exchange of LLC Interests by the Continuing LLC Owner. LLC Interests are neither dilutive nor antidilutive for the periods presented as the assumed redemption for shares of Class A common stock would cause a proportionate increase to net income (loss) attributable to Class A common shareholders—diluted.</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with exercise prices greater than the average market price of our Class A common stock are excluded from the computation of diluted net income (loss) per share because they are out-of-the-money.</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55"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portion of the restricted stock units and performance restricted stock units are considered antidilutive under the treasury stock method as the number of shares that could be purchased with the assumed proceeds of the restricted stock units exceed the total amount of the underlying shares outstanding.</w:t>
      </w:r>
    </w:p>
    <w:p>
      <w:pPr>
        <w:spacing w:after="0" w:line="191"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 Costs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are not allocated to the Company’s reportable segments as they are not part of the segment performance measures regularly reviewed by management. These charges are included in restructuring costs in the consolidated condensed statements of operations and comprehensive income (loss). Liabilities associated from restructuring costs are recorded in accrued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November 2025, the Company implemented a restructuring plan (the “2025 Restructuring Plan”) designed to optimize its organizational structure, including the elimination of several positions and the consolidation of administrative functions. Planned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charges associated with the 2025 Restructuring Plan are expected to total approximately $3,000, of which $454 and $2,235 were incurred during the three months ended March 28, 2026 and the year ended December 31, 2025, respectively. The 2025 Restructuring Plan is expected to be completed in 2026. These charges consist entirely of employee severance costs.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restructuring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 Restructuring Plan</w:t>
            </w:r>
          </w:p>
        </w:tc>
      </w:tr>
      <w:tr>
        <w:trPr>
          <w:trHeight w:val="23"/>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incurred</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28, 2026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are subject to variation due to several factors, including variability in pre-tax income (or loss), the mix of jurisdictions to which such income relates, changes in how the Company conducts business, and tax law developments.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12.6% for the three months ended March 28, 2026, primarily due to income earned in foreign jurisdictions. The effective tax rate for the three months ended March 29, 2025 was 2.8% driven by the divestiture of the Advanced Rehabilitation Business and foreign income, partially offset by the release of certain reserves for uncertain tax positions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the Company making payments under the TRA.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maintain a full valuation allowance against deferred tax assets related to the tax attributes generated as a result of redemptions of LLC Interests or exchanges described above until it is determined that the benefits are more-likely-than-not to be realized. As of March 28, 2026, the Continuing LLC Owner had not exchanged LLC Interests for shares of Class A common stock and therefore the Company had not recorded any liabilities under the TRA.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office facilities as well as other property, vehicles and equipment under operating leases. The Company also leases office space, a warehouse and certain equipment under finance leases. The remaining lease terms range from one month to 7.1 years.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4600" w:firstLine="332"/>
        <w:spacing w:after="0" w:line="340" w:lineRule="auto"/>
        <w:tabs>
          <w:tab w:leader="none" w:pos="64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variable lease cost and sublease income, which are immaterial. Supplemental cash flow information and non-cash activity related to leases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7"/>
        </w:trPr>
        <w:tc>
          <w:tcPr>
            <w:tcW w:w="7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lease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portions of operating and financing lease liabilities are recorded within other current liabilities on the consolidated condensed balance sheets. Noncurrent liabilities resulting from operating and financing leases are recorded within other long-term liabilities. Supplemental balance sheet and other information related to leases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7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current liabilities</w:t>
            </w:r>
          </w:p>
        </w:tc>
        <w:tc>
          <w:tcPr>
            <w:tcW w:w="3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3,303</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long-term liabilities</w:t>
            </w:r>
          </w:p>
        </w:tc>
        <w:tc>
          <w:tcPr>
            <w:tcW w:w="2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4,456</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7,759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current liabilities</w:t>
            </w:r>
          </w:p>
        </w:tc>
        <w:tc>
          <w:tcPr>
            <w:tcW w:w="3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long-term liabilities</w:t>
            </w:r>
          </w:p>
        </w:tc>
        <w:tc>
          <w:tcPr>
            <w:tcW w:w="2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8,729</w:t>
            </w:r>
          </w:p>
        </w:tc>
      </w:tr>
      <w:tr>
        <w:trPr>
          <w:trHeight w:val="248"/>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9,636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6"/>
        </w:trPr>
        <w:tc>
          <w:tcPr>
            <w:tcW w:w="47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904"/>
        </w:trPr>
        <w:tc>
          <w:tcPr>
            <w:tcW w:w="4700" w:type="dxa"/>
            <w:vAlign w:val="bottom"/>
          </w:tcPr>
          <w:p>
            <w:pPr>
              <w:spacing w:after="0"/>
              <w:rPr>
                <w:sz w:val="24"/>
                <w:szCs w:val="24"/>
                <w:color w:val="auto"/>
              </w:rPr>
            </w:pPr>
          </w:p>
        </w:tc>
        <w:tc>
          <w:tcPr>
            <w:tcW w:w="29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and Legal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periodically becomes involved in various claims and lawsuits, and governmental proceedings and investigations that are incidental to its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United States and in other jurisdictions in which the Company and its affiliates operate. As a result, interaction with governmental agencies is ongoing. The Company’s standard practice is to cooperate with regulators and investigators in responding to inquiries.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presently unable to predict the duration, scope, or result of these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is not within the Company’s complete control and might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2023, the Company and certain of its current and former directors and officers were named as defendants in a putative class action lawsuit filed in the Middle District of North Carolina (the “Court”),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$15,250, together with interest earned thereon, was paid in 2024 by the defendants and/or the defendant’s insurers.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2025, plaintiff Vince refiled a derivative complaint against certain of Bioventus’ current and former officers and directors, (in which the Company is a nominal defendant), in the Delaware Chancery Court,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The Defendants have not yet been served.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2025, another plaintiff filed a derivative complaint against certain of Bioventus’s current and former officers and directors(in which the Company is a nominal defendant), in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The defendants filed a motion to dismiss the Hyung case on October 10, 2025.The motion to dismiss has been fully briefed and the parties are now awaiting the Court’s decision.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10, 2021, the Company entered into an asset purchase agreement for an HA product and made an upfront payment of $853. An additional payment of $853 was made in 2022 upon the transfer of certain seller customer data. If the Company is able to obtain a Medical Device Regulation Certification (“MDR Certification”) for the product, $1,707 (the “Milestone Payment”) will be paid to the seller within five days. On March 8, 2023, the parties amended the agreement and reduced the Milestone Payment to $1,418, of which $709 was recorded as an intellectual property intangible asset during 2023 and was paid on January 31, 2024. The remainder was due upon receipt of the MDR Certification for the product provided that it was obtained prior to December 31, 2024, which was not achieved. The asset purchase agreement was further amended in 2024 acknowledging the expectation that the MDR Certification would not be obtained. Pursuant to the amendment in 2024, the MDR Certification achievement criteria under the asset purchase agreement were extended for two years.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9, 2016, the Company entered into an amended and restated license agreement for the exclusive U.S. distribution and commercialization rights of a single injection osteoarthritis (“OA”) product with the supplier of the Company’s single injection OA product for the non-U.S. market. The agreement requires the Company to meet annual minimum purchase requirements and pay royalties on net sales. Royalties related to this agreement during the three months ended March 28, 2026 and March 29, 2025 totaled $3,862 and $3,673, respectively. These royalties are included in cost of sales within the consolidated condensed statements of operations and comprehensive income (loss).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a supply agreement entered into on February 9, 2016 for the Company’s three injection OA products, the Company was subject to annual minimum purchase requirements through February 9, 2026. On February 9, 2026, the agreement automatically renewed for an additional 5 years, pursuant to the terms of the supply agreement, and will continue until that time unless terminated by the Company or the seller in accordance with the supply agreement.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supply agreement for the Company’s five injection OA product that was amended and restated on December 22, 2020, the Company is subject to annual minimum purchase requirements for 8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uses LOCs to provide credit support for guarantees, contractual commitments and insurance policies. The fair values of the LOCs reflect the amount of the underlying obligation and are subject to fees payable to the issuers, competitively determined in the marketplace. As of March 28, 2026 and December 31, 2025, the Company had three LOCs outstanding for approximately $1,607 and $2,200,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$250 per member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Revenue Recognition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policies for recognizing sales have not changed from those described in the Company’s Annual Report on Form 10-K for the year ended December 31, 2025. The Company attributes net sales to external customers to the U.S. and to all foreign countries based on the legal entity from which the sale originated. The Company had product sales to one customer totaling $14,822 representing 11.2% of net sales, primarily in the U.S. reporting segment during the three months ended March 28, 2026. The same customer had product sales of $13,594 representing 11.0% of net sales during the three months ended March 29, 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major business within each segment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40,844</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110,520</w:t>
            </w:r>
          </w:p>
        </w:tc>
      </w:tr>
      <w:tr>
        <w:trPr>
          <w:trHeight w:val="250"/>
        </w:trPr>
        <w:tc>
          <w:tcPr>
            <w:tcW w:w="7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7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29"/>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2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r>
      <w:tr>
        <w:trPr>
          <w:trHeight w:val="237"/>
        </w:trPr>
        <w:tc>
          <w:tcPr>
            <w:tcW w:w="7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two reporting segments: U.S. and International. These segments align with the Company’s operating structure and are based on the geographic markets in which the Company sells its products. Both segments sell the Company’s portfolio of products to healthcare institutions, physicians, patients, distributors and dealers.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 (ii) its operating results are regularly reviewed by the Chief Operating Decision Maker (“CODM”); and (iii) it has available discrete financial information. The Company’s CODM is its President and Chief Executive Officer, who uses segment Adjusted EBITDA to make decisions regarding the allocation of resources, assess performance and to develop annual budgets and forecasts. The Company does not disclose segment information by asset, as the CODM does not review or use such information to allocate resources or to assess the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EBITDA reconciled to income (loss) before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40" w:type="dxa"/>
            <w:vAlign w:val="bottom"/>
            <w:gridSpan w:val="6"/>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6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40" w:type="dxa"/>
            <w:vAlign w:val="bottom"/>
            <w:gridSpan w:val="6"/>
          </w:tcPr>
          <w:p>
            <w:pPr>
              <w:jc w:val="center"/>
              <w:ind w:left="252"/>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6"/>
                <w:szCs w:val="16"/>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5,158</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loss</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loss before income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cost of sales used in calculating segment Adjusted EBITDA excludes depreciation and amortization.</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33"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selling, general and administrative expense used in the calculation of segment Adjusted EBITDA excludes certain acquisition and related costs, shareholder litigation costs, certain restructuring costs, asset impairments, debt refinancing, equity-based compensation expense and other segment items—charges associated with strategic transactions, such as potential divestitures and a transformative project to redesign systems and information processing.</w:t>
      </w:r>
    </w:p>
    <w:p>
      <w:pPr>
        <w:spacing w:after="0" w:line="38"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research and development expense used in calculating segment Adjusted EBITDA excludes depreciation and amortization, and equity-based compensation expense.</w:t>
      </w:r>
    </w:p>
    <w:p>
      <w:pPr>
        <w:spacing w:after="0" w:line="36"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other segment (income) expense primarily consists of foreign currency transaction and remeasurement gains and losses and other certain nonrecurring items.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35" w:lineRule="auto"/>
        <w:tabs>
          <w:tab w:leader="none" w:pos="655" w:val="left"/>
        </w:tabs>
        <w:numPr>
          <w:ilvl w:val="1"/>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March 28, 2026, other items primarily consisted of individually immaterial items that are not indicative of the Company’s ongoing operating performance. During the three months ended March 29, 2025, other items primarily consisted of expenses related to the divestiture of the Advanced Rehabilitation Business.</w:t>
      </w:r>
    </w:p>
    <w:p>
      <w:pPr>
        <w:spacing w:after="0" w:line="191" w:lineRule="exact"/>
        <w:rPr>
          <w:rFonts w:ascii="Times New Roman" w:cs="Times New Roman" w:eastAsia="Times New Roman" w:hAnsi="Times New Roman"/>
          <w:sz w:val="23"/>
          <w:szCs w:val="23"/>
          <w:color w:val="auto"/>
          <w:vertAlign w:val="superscript"/>
        </w:rPr>
      </w:pPr>
    </w:p>
    <w:p>
      <w:pPr>
        <w:ind w:left="300" w:hanging="292"/>
        <w:spacing w:after="0"/>
        <w:tabs>
          <w:tab w:leader="none" w:pos="30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2026 and April 30, 2026, the Company made scheduled principal and discretionary prepayments on the 2025 Term Loan of $3,750 and $10,000, respectively. The discretionary prepayment reduced the outstanding principal balance due at Maturity.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Bioventus Inc.’s (sometimes referred to as “we,” “us,” “our,” “Bioventus” or “the Company”) financial condition and results of operations should be read in conjunction with the “Special Note Regarding Forward-Looking Statements” and our unaudited consolidated condensed financial statements and related notes thereto appearing elsewhere in this Quarterly Report on Form 10-Q, as well as our audited consolidated financial statements and related notes included in our Annual Report on Form 10-K for the year ended December 31, 2025 filed with the Securities and Exchange Commission (“SEC”) on March 5, 2026 (“2025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medical device company focused on helping patients recover and live life to the fullest by relieving pain and addressing musculoskeletal challenges through a diverse portfolio of high-quality, innovative, and clinically proven solutions. We operate our business through two reporting segments, U.S. and International, and our portfolio of products is comprised of five patient-focused areas, grouped into three businesses based on clinical use: (i) Pain Treatments, (ii) Surgical Solutions, and (iii) Restorative Therapies.</w:t>
      </w:r>
    </w:p>
    <w:p>
      <w:pPr>
        <w:spacing w:after="0" w:line="1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Pain Treatments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Knee Osteoarthritis (“KOA”)</w:t>
      </w:r>
      <w:r>
        <w:rPr>
          <w:rFonts w:ascii="Times New Roman" w:cs="Times New Roman" w:eastAsia="Times New Roman" w:hAnsi="Times New Roman"/>
          <w:sz w:val="18"/>
          <w:szCs w:val="18"/>
          <w:color w:val="auto"/>
        </w:rPr>
        <w:t>: Our product portfolio includes a range of intra-articular, hyaluronic acid (“HA”) injections that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relieve patient discomfort and improve quality of life. In the U.S., we also distribute the XCELL Platelet-Rich Plasma (“PRP”) system, a technology that is synergistic with our existing physician call points, as many surgeons who use HA also use PRP.</w:t>
      </w:r>
    </w:p>
    <w:p>
      <w:pPr>
        <w:spacing w:after="0" w:line="8"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Peripheral Nerve Stimulation (“PNS”)</w:t>
      </w:r>
      <w:r>
        <w:rPr>
          <w:rFonts w:ascii="Times New Roman" w:cs="Times New Roman" w:eastAsia="Times New Roman" w:hAnsi="Times New Roman"/>
          <w:sz w:val="18"/>
          <w:szCs w:val="18"/>
          <w:color w:val="auto"/>
        </w:rPr>
        <w:t>: We are focused on developing and commercializing a full portfolio of peripheral nerve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stimulation products with solutions for acute, temporary and chronic pain.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Surgical Solutions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580" w:hanging="320"/>
        <w:spacing w:after="0" w:line="268"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Ultrasonics: </w:t>
      </w:r>
      <w:r>
        <w:rPr>
          <w:rFonts w:ascii="Times New Roman" w:cs="Times New Roman" w:eastAsia="Times New Roman" w:hAnsi="Times New Roman"/>
          <w:sz w:val="18"/>
          <w:szCs w:val="18"/>
          <w:color w:val="auto"/>
        </w:rPr>
        <w:t>Our Ultrasonics business offers precision bone resection for patients with degenerative spine conditions and spinal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deformities. This portfolio also enables precision bone cutting in ultrasonic neuro and general surgery to address brain tumors and pathologies of the liver and other organs.</w:t>
      </w:r>
    </w:p>
    <w:p>
      <w:pPr>
        <w:spacing w:after="0" w:line="8"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Bone Graft Substitutes (“BGS”)</w:t>
      </w:r>
      <w:r>
        <w:rPr>
          <w:rFonts w:ascii="Times New Roman" w:cs="Times New Roman" w:eastAsia="Times New Roman" w:hAnsi="Times New Roman"/>
          <w:sz w:val="18"/>
          <w:szCs w:val="18"/>
          <w:color w:val="auto"/>
        </w:rPr>
        <w:t>: Our BGS product portfolio includes a range of products that facilitate optimal bone fusion following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procedure.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Restorative Therapies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420" w:hanging="320"/>
        <w:spacing w:after="0" w:line="268"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Fracture Care</w:t>
      </w:r>
      <w:r>
        <w:rPr>
          <w:rFonts w:ascii="Times New Roman" w:cs="Times New Roman" w:eastAsia="Times New Roman" w:hAnsi="Times New Roman"/>
          <w:sz w:val="18"/>
          <w:szCs w:val="18"/>
          <w:color w:val="auto"/>
        </w:rPr>
        <w:t>: We provide low-intensity pulse ultrasound to help patients who suffer from bone fractures that do not heal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 methods. We plan to expand our U.S. clinical fracture care indications to address the healing of additional fresh fractures, especially for high-risk patients.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net sales, net income (loss) and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30"/>
        </w:trPr>
        <w:tc>
          <w:tcPr>
            <w:tcW w:w="7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Class A common stock:</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4"/>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bl>
    <w:p>
      <w:pPr>
        <w:spacing w:after="0" w:line="9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below under </w:t>
      </w:r>
      <w:r>
        <w:rPr>
          <w:rFonts w:ascii="Times New Roman" w:cs="Times New Roman" w:eastAsia="Times New Roman" w:hAnsi="Times New Roman"/>
          <w:sz w:val="18"/>
          <w:szCs w:val="18"/>
          <w:i w:val="1"/>
          <w:iCs w:val="1"/>
          <w:color w:val="auto"/>
        </w:rPr>
        <w:t>Results of Operations-Adjusted EBITDA</w:t>
      </w:r>
      <w:r>
        <w:rPr>
          <w:rFonts w:ascii="Times New Roman" w:cs="Times New Roman" w:eastAsia="Times New Roman" w:hAnsi="Times New Roman"/>
          <w:sz w:val="18"/>
          <w:szCs w:val="18"/>
          <w:color w:val="auto"/>
        </w:rPr>
        <w:t xml:space="preserve"> for a reconciliation of net income (loss) to Adjusted EBITDA.</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Significant Developments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2026, the Company made a discretionary principal prepayment of $22.0 million on the 2025 Term Loan to reduce the amount of its long-term debt, driven by strong operating cash flows. The reduction in long-term debt lowered interest payments and borrowing costs and improved the Company’s financial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components of our results of operations, refer to </w:t>
      </w:r>
      <w:r>
        <w:rPr>
          <w:rFonts w:ascii="Times New Roman" w:cs="Times New Roman" w:eastAsia="Times New Roman" w:hAnsi="Times New Roman"/>
          <w:sz w:val="18"/>
          <w:szCs w:val="18"/>
          <w:i w:val="1"/>
          <w:iCs w:val="1"/>
          <w:color w:val="auto"/>
        </w:rPr>
        <w:t>Part II. 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our 2025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components of our consolidated condensed statements of operations as a percentage of net sales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7"/>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 (includes depreciation &amp; amortization)</w:t>
            </w:r>
          </w:p>
        </w:tc>
        <w:tc>
          <w:tcPr>
            <w:tcW w:w="3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disposals</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7"/>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29"/>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20" w:type="dxa"/>
            <w:vAlign w:val="bottom"/>
            <w:tcBorders>
              <w:top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(3,322)</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r>
              <w:rPr>
                <w:rFonts w:ascii="Times New Roman" w:cs="Times New Roman" w:eastAsia="Times New Roman" w:hAnsi="Times New Roman"/>
                <w:sz w:val="23"/>
                <w:szCs w:val="23"/>
                <w:color w:val="auto"/>
                <w:vertAlign w:val="superscript"/>
              </w:rPr>
              <w:t>(c)</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r>
              <w:rPr>
                <w:rFonts w:ascii="Times New Roman" w:cs="Times New Roman" w:eastAsia="Times New Roman" w:hAnsi="Times New Roman"/>
                <w:sz w:val="23"/>
                <w:szCs w:val="23"/>
                <w:color w:val="auto"/>
                <w:vertAlign w:val="superscript"/>
              </w:rPr>
              <w:t>(d)</w:t>
            </w:r>
          </w:p>
        </w:tc>
        <w:tc>
          <w:tcPr>
            <w:tcW w:w="3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disposals</w:t>
            </w:r>
            <w:r>
              <w:rPr>
                <w:rFonts w:ascii="Times New Roman" w:cs="Times New Roman" w:eastAsia="Times New Roman" w:hAnsi="Times New Roman"/>
                <w:sz w:val="23"/>
                <w:szCs w:val="23"/>
                <w:color w:val="auto"/>
                <w:vertAlign w:val="superscript"/>
              </w:rPr>
              <w:t>(e)</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(f)</w:t>
            </w:r>
          </w:p>
        </w:tc>
        <w:tc>
          <w:tcPr>
            <w:tcW w:w="3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23,915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19,212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660" w:hanging="328"/>
        <w:spacing w:after="0" w:line="235" w:lineRule="auto"/>
        <w:tabs>
          <w:tab w:leader="none" w:pos="65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for the three months ended March 28, 2026 and March 29, 2025, respectively, depreciation and amortization of $10.1 million and $10.3 million in cost of sales and $1.1 million and $1.6 million in operating expenses presented in the consolidated condensed statements of operations and comprehensive income (loss).</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primarily resulted from severance associated with the elimination of several positions and the consolidation of certain administrative functions and roles.</w:t>
      </w:r>
    </w:p>
    <w:p>
      <w:pPr>
        <w:spacing w:after="0" w:line="6"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compensation expense resulting from awards granted under our equity-based compensation plans.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Costs incurred as a result of certain shareholder litigation unrelated to our ongoing operations.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loss on the disposal of the Advanced Rehabilitation Business.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219" w:lineRule="auto"/>
        <w:tabs>
          <w:tab w:leader="none" w:pos="65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three months ended March 28, 2026 primarily consisted of individually immaterial items that are not indicative of the Company’s ongoing operating performance.</w:t>
      </w:r>
    </w:p>
    <w:p>
      <w:pPr>
        <w:spacing w:after="0" w:line="35" w:lineRule="exact"/>
        <w:rPr>
          <w:rFonts w:ascii="Times New Roman" w:cs="Times New Roman" w:eastAsia="Times New Roman" w:hAnsi="Times New Roman"/>
          <w:sz w:val="23"/>
          <w:szCs w:val="23"/>
          <w:color w:val="auto"/>
          <w:vertAlign w:val="superscript"/>
        </w:rPr>
      </w:pPr>
    </w:p>
    <w:p>
      <w:pPr>
        <w:ind w:left="660"/>
        <w:spacing w:after="0" w:line="282"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three months ended March 29, 2025 primarily consisted of $0.5 million of expenses related to the divestiture of the Advanced Rehabilitation Business, which was completed on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is a useful indicator for management to measure operating performance and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(loss) before depreciation and amortization, provision of income taxes and interest expense, net, adjusted for the impact of certain cash, non-cash and other items that we do not consider in our evaluation of ongoing operating performance. These items include acquisition and divestiture related costs, certain shareholder litigation costs, impairment of assets, restructuring costs, equity-based compensation expense, debt refinancing, loss on extinguishment of debt, and other items. Adjusted EBITDA by segment consists of net sales and costs directly attributable to a segment, as well as an allocation of corporate overhead costs primarily based on a ratio of net sales by segment to total consolidated net sales.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as an analytical tool and should not be considered in isolation or as a substitute for, or as superior to, the financial information prepared and presented in accordance with U.S. GAAP. These measures might exclude certain normal recurring expenses. Therefore, these measures might not provide a complete understanding of the Company's performance and should be reviewed in conjunction with U.S. GAAP financial measures. Additionally, other companies might define their non-GAAP financial measures differently than we do. Investors are encouraged to review the reconciliation of the non-GAAP measure provided in this Quarterly Report on Form 10-Q, including all tables referencing Adjusted EBITDA to its most directly comparable U.S. GAAP measure.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8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for the period increased $5.9 million, or 5.4%, compared to the prior year period. Net sales from Pain Treatments increased $3.5 million driven by favorable rebates compared to the prior year period. As previously disclosed, during the third quarter of 2025, a large private insurance payer informed us that it had implemented changes to its claims data management and billing systems, which the Company estimated could result in significantly higher rebate volumes for our HA viscosupplement products than previously estimated or experienced. During the first quarter of 2026, we received the first deferred rebate billings processed under the payer’s updated billing methodology. The rebate claims reflected in these billings were at the low end of our estimated range of possible outcomes. Based on this information, we reduced accrued rebates to this contract by $4.2 million during the first quarter of 2026. This increase was partially offset by a 1.7% decline in HA volume.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from Surgical Solutions increased $1.7 million due to volume growth in BGS. The $0.8 million increase in Restorative Therapies was attributable to a higher net average selling price (“ASP”) for our EXOGEN Bone Stimulation System.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$2.3 million, or 17.1%, compared to the prior year period, primarily due to volume growth in Ultrasonics and Pain Treatments, driven by Durolane.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300" w:type="dxa"/>
            <w:vAlign w:val="bottom"/>
          </w:tcPr>
          <w:p>
            <w:pPr>
              <w:jc w:val="right"/>
              <w:ind w:right="1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82,040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75,529</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8"/>
              </w:rPr>
              <w:t>6,511</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13"/>
              <w:spacing w:after="0"/>
              <w:rPr>
                <w:sz w:val="20"/>
                <w:szCs w:val="20"/>
                <w:color w:val="auto"/>
              </w:rPr>
            </w:pPr>
            <w:r>
              <w:rPr>
                <w:rFonts w:ascii="Times New Roman" w:cs="Times New Roman" w:eastAsia="Times New Roman" w:hAnsi="Times New Roman"/>
                <w:sz w:val="18"/>
                <w:szCs w:val="18"/>
                <w:color w:val="auto"/>
                <w:w w:val="98"/>
              </w:rPr>
              <w:t>1,202</w:t>
            </w: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83,056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8"/>
              </w:rPr>
              <w:t>7,713</w:t>
            </w:r>
          </w:p>
        </w:tc>
        <w:tc>
          <w:tcPr>
            <w:tcW w:w="2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rPr>
              <w:t>68.3 %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773"/>
              <w:spacing w:after="0"/>
              <w:rPr>
                <w:sz w:val="20"/>
                <w:szCs w:val="20"/>
                <w:color w:val="auto"/>
              </w:rPr>
            </w:pPr>
            <w:r>
              <w:rPr>
                <w:rFonts w:ascii="Times New Roman" w:cs="Times New Roman" w:eastAsia="Times New Roman" w:hAnsi="Times New Roman"/>
                <w:sz w:val="18"/>
                <w:szCs w:val="18"/>
                <w:color w:val="auto"/>
              </w:rPr>
              <w:t>56.4 %</w:t>
            </w:r>
          </w:p>
        </w:tc>
        <w:tc>
          <w:tcPr>
            <w:tcW w:w="2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8"/>
                <w:szCs w:val="18"/>
                <w:color w:val="auto"/>
              </w:rPr>
              <w:t>67.0 %</w:t>
            </w:r>
          </w:p>
        </w:tc>
        <w:tc>
          <w:tcPr>
            <w:tcW w:w="2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$6.5 million, or 8.6%, compared to the prior year period, driven by revenue growth across all of our businesses, favorable rebates, and a $0.4 million refund related to certain vendor tariffs. The resulting gross margin increase of 2.2% was primarily attributable to: (i) a 0.7% benefit from favorable rebates; (ii) a 0.5% increase from lower depreciation and amortization expense; and (iii) a 0.4% benefit from vendor tariffs. The remainder was attributable to favorable foreign currency movements and other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$1.2 million, or 16.0% compared to the prior year period, primarily due to revenue growth in all businesses. Gross margin decreased slightly by 0.6% due to one-time costs for servicing and repairs.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78,325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$4.8 million, or 6.6%, compared to the prior year period, primarily due to: (i) a $3.1 million increase in compensation-related costs driven by higher wages, bonuses and commissions; and (ii) a $0.8 million increase in stock-based compensation. The remainder of the increase was attributable to various miscellaneous items.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$0.5 million, or 18.1%, compared to the prior year period, primarily due to a reduction in consulting expenses resulting from the completion of certain projects.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46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2220" w:type="dxa"/>
            <w:vAlign w:val="bottom"/>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00" w:type="dxa"/>
            <w:vAlign w:val="bottom"/>
            <w:vMerge w:val="continue"/>
          </w:tcPr>
          <w:p>
            <w:pPr>
              <w:spacing w:after="0"/>
              <w:rPr>
                <w:sz w:val="15"/>
                <w:szCs w:val="15"/>
                <w:color w:val="auto"/>
              </w:rPr>
            </w:pPr>
          </w:p>
        </w:tc>
        <w:tc>
          <w:tcPr>
            <w:tcW w:w="16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5"/>
                <w:szCs w:val="15"/>
                <w:color w:val="auto"/>
              </w:rPr>
            </w:pPr>
          </w:p>
        </w:tc>
        <w:tc>
          <w:tcPr>
            <w:tcW w:w="11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48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1"/>
        </w:trPr>
        <w:tc>
          <w:tcPr>
            <w:tcW w:w="2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Restructuring costs</w:t>
            </w:r>
          </w:p>
        </w:tc>
        <w:tc>
          <w:tcPr>
            <w:tcW w:w="22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8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454</w:t>
            </w:r>
          </w:p>
        </w:tc>
        <w:tc>
          <w:tcPr>
            <w:tcW w:w="10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w w:val="89"/>
              </w:rPr>
              <w:t>NM</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NM - Not meaningful</w:t>
            </w:r>
          </w:p>
        </w:tc>
        <w:tc>
          <w:tcPr>
            <w:tcW w:w="2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costs incurred during the first quarter of 2026 primarily related to severance costs associated with a restructuring plan initiated in 2025 that focused on the elimination of several positions to optimize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80" w:type="dxa"/>
            <w:vAlign w:val="bottom"/>
          </w:tcPr>
          <w:p>
            <w:pPr>
              <w:spacing w:after="0"/>
              <w:rPr>
                <w:sz w:val="16"/>
                <w:szCs w:val="16"/>
                <w:color w:val="auto"/>
              </w:rPr>
            </w:pP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during the three months ended March 28, 2026 compared to the prior year period, primarily due to certain information technology assets being fully depreciated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on disposals during the three months ended March 29, 2025 related to the sale of the Advanced Rehabilitation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3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decreased by $3.2 million during the three months ended March 28, 2026 compared to the prior year period, primarily due to lower debt outstanding and reduced interest rates and applicable margins following the completion of our debt refinancing in the third quarter of 2025. Other income, net during the three months ended March 28, 2026 was driven by foreign currency gains, compared to foreign currency losses in the prior year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2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was 12.6% for the three months ended March 28, 2026, primarily reflecting income earned in foreign jurisdictions. The effective tax rate of 2.8% for the three months ended March 29, 2025 was driven by the divestiture of the Advanced Rehabilitation Business and foreign income, partially offset by the release of certain reserves for uncertain tax positions.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IPO and related transactions, we became the sole managing member of BV LLC, holding ownership interests of 81.1% and 81.0% as of March 28, 2026 and December 31, 2025, respectively. We consolidate BV LLC’s financial statements as we have both a majority economic interest and sole voting control over BV LLC. The portion of BV LLC not owned by us—18.9% as of March 28, 2026—is reflected as a noncontrolling interest, representing the share of BV LLC owned by the Continuing LLC Owner. Period-over-period changes in noncontrolling interest reflect the allocation of net income or loss attributable to the Continuing LLC Owner.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20"/>
                <w:szCs w:val="20"/>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$4.1 million, or 24.0%, compared to the prior year period, primarily due to higher gross profit driven by increased sales, favorable rebates, and favorable foreign currency movements. These improvements were partially offset by higher compensation-related costs.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$0.6 million, or 28.6%, compared to the prior year period, primarily due to higher gross profit driven by increased sales, partially offset with higher compensation-related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liquidity needs have historically been for acquisitions, working capital, research and development, clinical trials, and capital expenditures. We expect these needs to continue as we develop and market new products and further expand into international markets.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we entered into the 2025 Credit Agreement that provides for a $300.0 million term loan (the “2025 Term Loan”) and a $100.0 million revolving credit facility (the “2025 Revolver”). Proceeds from the 2025 Credit Agreement, including $30.0 million in borrowings under its revolver and $2.6 million in available cash, were used to fully repay the outstanding balance under the 2019 Credit and Guaranty Agreement, as amended, which totaled $332.6 million as of July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we entered into two interest rate swaps to mitigate the interest rate risk associated with our floating-rate SOFR-based borrowings under the 2025 Credit Agreement. Under the terms of swaps, we pay a fixed interest rate in exchange for SOFR-based variable interest throughout the life of the instruments. The interest rate swaps have a weighted average fixed interest rate of 3.60% and an aggregate notional value of $150.0 million, or 50.0% of the 2025 Term Loan.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rate is subject to adjustment based on our leverage ratio. Swingline loans are available as base rate option loans and LOCs are limited to $7.5 million under the 2025 Credit Agreement.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2026, we made our $3.8 million scheduled principal payment on the 2025 Term Loan. In addition, on March 27, 2026 and April 30, 2026, we elected to make discretionary prepayments of $22.0 million and $10.0 million, respectively, on the 2025 Term Loan. These prepayments were made to reduce future interest expense, and we believe the prepayments align with our capital optimization strategy and liquidity objectives. As of March 28, 2026, we had $98.4 million available on the 2025 Revolver, net of $1.6 million in outstanding LOCs. This availability, combined with our existing cash balances and expected cash flows from operations, provides us with sufficient liquidity to meet our near-term obligations and supports ongoing operations for the next twelve months.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that, to the extent additional capital is required, we will seek funding through a combination of equity financings, the incurrence of additional indebtedness, or other strategic sources of capital. Our ability to access these sources will depend on market conditions, our financial performance, and other factors.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explore divestiture opportunities for non-core assets to improve our liquidity position.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If we raise additional funds through collaboration and licensing arrangements with third parties, it might be necessary to relinquish valuable rights to our products, future revenue streams or product candidates, or to grant licenses on terms that might not be favorable to us. We cannot be certain that additional funding will be available on acceptable terms, or at all. Any failure to raise capital in the future might have a negative impact on our financial condition and our ability to pursue our business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material changes to our estimated future cash requirements associated with debt and related obligations: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3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8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274,250</w:t>
            </w:r>
          </w:p>
        </w:tc>
      </w:tr>
      <w:tr>
        <w:trPr>
          <w:trHeight w:val="230"/>
        </w:trPr>
        <w:tc>
          <w:tcPr>
            <w:tcW w:w="6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73,966</w:t>
            </w:r>
          </w:p>
        </w:tc>
      </w:tr>
      <w:tr>
        <w:trPr>
          <w:trHeight w:val="248"/>
        </w:trPr>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right="20" w:hanging="328"/>
        <w:spacing w:after="0" w:line="230" w:lineRule="auto"/>
        <w:tabs>
          <w:tab w:leader="none" w:pos="65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Financial Information—Notes to the Unaudited Consolidated Condensed Financial Statements—Note 4. Financial Instruments</w:t>
      </w:r>
      <w:r>
        <w:rPr>
          <w:rFonts w:ascii="Times New Roman" w:cs="Times New Roman" w:eastAsia="Times New Roman" w:hAnsi="Times New Roman"/>
          <w:sz w:val="18"/>
          <w:szCs w:val="18"/>
          <w:color w:val="auto"/>
        </w:rPr>
        <w:t xml:space="preserve"> in this report for further information regarding our long-term debt obligations.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Other than the above changes to debt and related obligations, there have been no material changes to our estimated future cash requirements as disclosed in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2025 10-K.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enter into contracts in the ordinary course of business with various third parties for development, collaboration and other services. These agreements generally include provisions allowing for termination upon notice. In the event of cancellation, payments typically consist of amounts due for services rendered or expenses incurred through the termination date, including non-cancellable obligations of our service providers. Certain agreements also contain contingent provisions that may require payment upon the occurrence of specified events. For additional information regarding commitments and contingencies, refer to </w:t>
      </w:r>
      <w:r>
        <w:rPr>
          <w:rFonts w:ascii="Times New Roman" w:cs="Times New Roman" w:eastAsia="Times New Roman" w:hAnsi="Times New Roman"/>
          <w:sz w:val="18"/>
          <w:szCs w:val="18"/>
          <w:i w:val="1"/>
          <w:iCs w:val="1"/>
          <w:color w:val="auto"/>
        </w:rPr>
        <w:t>Item 1. Financial Information—Notes to the Unaudited Consolidated Condensed Financial Statements—Note 11.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BV LLC Agreement provides for the payment of certain distributions to the Continuing LLC Owner in amounts sufficient to cover the income taxes imposed with respect to the allocation of taxable income from BV LLC as well as obligations within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our ability to, subject to negotiated exceptions, incur additional indebtedness, liens on our assets, engage in acquisitions or dispositions, pay dividends or make other distributions, enter into transactions with affiliated persons, make investments, change the nature of our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3.50 to 1.00. We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We were in compliance with the financial covenants under the 2025 Credit Agreement as of March 28, 2026. We do not expect any of these covenants or restrictions to affect or limit our ability to conduct business in the ordinary course.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27, 2026, we made a discretionary prepayment of $22.0 million on the 2025 Term Loan. As of March 28, 2026, we had an outstanding balance of $272.1 million under the 2025 Term Loan, net of original issue discount and deferred financing costs.</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Financial Information—Notes Unaudited Consolidated Condensed Financial Statements—Note 4. Financial Instruments</w:t>
      </w:r>
      <w:r>
        <w:rPr>
          <w:rFonts w:ascii="Times New Roman" w:cs="Times New Roman" w:eastAsia="Times New Roman" w:hAnsi="Times New Roman"/>
          <w:sz w:val="18"/>
          <w:szCs w:val="18"/>
          <w:color w:val="auto"/>
        </w:rPr>
        <w:t xml:space="preserve"> for further details on the Company’s indebtedness.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Commitments and Contingencies, refer to </w:t>
      </w:r>
      <w:r>
        <w:rPr>
          <w:rFonts w:ascii="Times New Roman" w:cs="Times New Roman" w:eastAsia="Times New Roman" w:hAnsi="Times New Roman"/>
          <w:sz w:val="18"/>
          <w:szCs w:val="18"/>
          <w:i w:val="1"/>
          <w:iCs w:val="1"/>
          <w:color w:val="auto"/>
        </w:rPr>
        <w:t>Item 1. Financial Information—Notes to the Unaudited Consolidated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Statements—Note 11. Commitments and Contingencies </w:t>
      </w:r>
      <w:r>
        <w:rPr>
          <w:rFonts w:ascii="Times New Roman" w:cs="Times New Roman" w:eastAsia="Times New Roman" w:hAnsi="Times New Roman"/>
          <w:sz w:val="18"/>
          <w:szCs w:val="18"/>
          <w:color w:val="auto"/>
        </w:rPr>
        <w:t>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Cash Flows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and cash equivalents as of March 28, 2026 totaled $35.8 million, compared to $51.2 million as of December 31, 2025. The change in cash was primarily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6"/>
                <w:szCs w:val="16"/>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Net cash inflows from operating activities increased by $28.3 million compared to the prior year period, primarily due to higher cash collections on net sales, lower interest payments resulting from reduced debt levels and favorable interest rates, favorable timing of payments, and a decrease in bonus payments, partially offset by higher compensation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outflows from investing activities decreased by $0.3 million compared to the prior year period, due to lower capital expenditures. Capital expenditures in both periods primarily related to information technology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Net cash outflows from financing activities totaled $23.1 million for the three months ended March 28, 2026, primarily due to a $22.0 million discretionary prepayment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Net cash inflows from financing activities totaled $0.9 million for the three months ended March 29, 2025, driven by $10.0 million of net borrowings under our previous revolving credit facility, largely offset by a $9.0 million payment of contingent consideration related to a prior acquisition.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disclosed in our 2025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discussion of operating results is based upon the unaudited consolidated condensed financial statements and accompanying notes, which have been prepared in accordance with U.S. GAAP. The preparation of these statements requires us to make estimates and assumptions that affect the reported amounts of assets and liabilities and disclosure of contingent assets and liabilities at the date of the financial statements and the reported amount of revenues and expenses during the reporting period. Our estimates are based on our historical experience and on various other assumptions that we believe are reasonable under the circumstances, the results of which form the basis for making judgments about the carrying value of assets and liabilities that are not readily apparent from other sources. Changes in the facts or circumstances underlying these estimates could result in material changes and actual results could differ from these estimates. In the event we dispose of assets before the end of their previously stated useful life, we may incur an impairment charge. Our critical accounting estimates are detailed in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 xml:space="preserve"> of our 2025 10-K and we have no material changes to such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as disclosed in our 2025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Chief Executive Officer and Chief Financial Officer, conducted an evaluation of the effectiveness of our disclosure controls and procedures (as defined in Rules 13a-15(e) or 15d-15(e) promulgated under the Exchange Act) as of March 28, 2026 (the end of the period covered by this Quarterly Report on Form 10-Q). Based upon that evaluation, our President and Chief Executive Officer and Chief Financial Officer concluded that, as of March 28, 2026, our disclosure controls and procedures are designed at a reasonable assurance level and are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first quarter of 2026 that have materially affected, or are reasonably likely to materially affect, our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2023, the Company and certain of its current and former directors and officers were named as defendants in a putative class action lawsuit filed in the Middle District of North Carolina (the “Court”),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$15.3 million, together with interest earned thereon, was paid in 2024 by the defendants and/or the defendant’s insurers.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2025, plaintiff Vince refiled a derivative complaint against certain of Bioventus’ current and former officers and directors, (in which the Company is a nominal defendant), in the Delaware Chancery Court,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The Defendants have not yet been served.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2025, another plaintiff filed a derivative complaint against certain of Bioventus’s current and former officers and directors(in which the Company is a nominal defendant), in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The defendants filed a motion to dismiss the Hyung case on October 10, 2025.The motion to dismiss has been fully briefed and the parties are now awaiting the Court’s decision.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Risk Factors included in our 2025 10-K, which could materially affect our businesses, financial condition, or future results. Additional risks and uncertainties not currently known to us or that we currently deem to be immaterial also may adversely affect our business, financial condition, or future results. There have been no material changes in our risk factors from those described in our 2025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Use of Proceeds, and Issuer Purchases of Equity Securities.</w:t>
      </w:r>
    </w:p>
    <w:p>
      <w:pPr>
        <w:spacing w:after="0" w:line="11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March 28, 2026, none of our directors or officers (as defined in rule 16a-1 (f) under the Exchange Act) adopted, modified or terminated a “Rule 10b5-1 trading arrangement” or a “non-Rule 10b5-1 trading arrangement” (as such terms are defined in Item 408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Exhibit No.</w:t>
      </w:r>
    </w:p>
    <w:p>
      <w:pPr>
        <w:ind w:left="320"/>
        <w:spacing w:after="0" w:line="265"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10.1</w:t>
        </w:r>
        <w:r>
          <w:rPr>
            <w:rFonts w:ascii="MS PGothic" w:cs="MS PGothic" w:eastAsia="MS PGothic" w:hAnsi="MS PGothic"/>
            <w:sz w:val="23"/>
            <w:szCs w:val="23"/>
            <w:color w:val="auto"/>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6515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8" w:lineRule="exact"/>
        <w:rPr>
          <w:sz w:val="20"/>
          <w:szCs w:val="20"/>
          <w:color w:val="auto"/>
        </w:rPr>
      </w:pPr>
    </w:p>
    <w:p>
      <w:pPr>
        <w:ind w:left="320"/>
        <w:spacing w:after="0" w:line="265" w:lineRule="exact"/>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10.2</w:t>
        </w:r>
        <w:r>
          <w:rPr>
            <w:rFonts w:ascii="MS PGothic" w:cs="MS PGothic" w:eastAsia="MS PGothic" w:hAnsi="MS PGothic"/>
            <w:sz w:val="23"/>
            <w:szCs w:val="23"/>
            <w:color w:val="auto"/>
            <w:vertAlign w:val="superscript"/>
          </w:rPr>
          <w:t>∧</w:t>
        </w:r>
      </w:hyperlink>
    </w:p>
    <w:p>
      <w:pPr>
        <w:spacing w:after="0" w:line="3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101.SCH</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23056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5" w:lineRule="exact"/>
        <w:rPr>
          <w:sz w:val="20"/>
          <w:szCs w:val="20"/>
          <w:color w:val="auto"/>
        </w:rPr>
      </w:pPr>
    </w:p>
    <w:p>
      <w:pPr>
        <w:jc w:val="both"/>
        <w:ind w:right="20"/>
        <w:spacing w:after="0" w:line="281" w:lineRule="auto"/>
        <w:rPr>
          <w:rFonts w:ascii="Times New Roman" w:cs="Times New Roman" w:eastAsia="Times New Roman" w:hAnsi="Times New Roman"/>
          <w:sz w:val="18"/>
          <w:szCs w:val="18"/>
          <w:color w:val="auto"/>
        </w:rPr>
      </w:pPr>
      <w:hyperlink r:id="rId53">
        <w:r>
          <w:rPr>
            <w:rFonts w:ascii="Times New Roman" w:cs="Times New Roman" w:eastAsia="Times New Roman" w:hAnsi="Times New Roman"/>
            <w:sz w:val="18"/>
            <w:szCs w:val="18"/>
            <w:color w:val="auto"/>
          </w:rPr>
          <w:t>Form of Bioventus Performance Restricted Stock</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color w:val="auto"/>
          </w:rPr>
          <w:t>Unit Award Grant Notice and Agreement (2026)</w:t>
        </w:r>
      </w:hyperlink>
    </w:p>
    <w:p>
      <w:pPr>
        <w:spacing w:after="0" w:line="1" w:lineRule="exact"/>
        <w:rPr>
          <w:sz w:val="20"/>
          <w:szCs w:val="20"/>
          <w:color w:val="auto"/>
        </w:rPr>
      </w:pPr>
    </w:p>
    <w:p>
      <w:pPr>
        <w:ind w:right="20"/>
        <w:spacing w:after="0" w:line="312" w:lineRule="auto"/>
        <w:rPr>
          <w:rFonts w:ascii="Times New Roman" w:cs="Times New Roman" w:eastAsia="Times New Roman" w:hAnsi="Times New Roman"/>
          <w:sz w:val="17"/>
          <w:szCs w:val="17"/>
          <w:color w:val="auto"/>
        </w:rPr>
      </w:pPr>
      <w:hyperlink r:id="rId53">
        <w:r>
          <w:rPr>
            <w:rFonts w:ascii="Times New Roman" w:cs="Times New Roman" w:eastAsia="Times New Roman" w:hAnsi="Times New Roman"/>
            <w:sz w:val="17"/>
            <w:szCs w:val="17"/>
            <w:color w:val="auto"/>
          </w:rPr>
          <w:t>Form of Letter Agreement Amending Restricted</w:t>
        </w:r>
      </w:hyperlink>
      <w:r>
        <w:rPr>
          <w:rFonts w:ascii="Times New Roman" w:cs="Times New Roman" w:eastAsia="Times New Roman" w:hAnsi="Times New Roman"/>
          <w:sz w:val="17"/>
          <w:szCs w:val="17"/>
          <w:color w:val="auto"/>
        </w:rPr>
        <w:t xml:space="preserve"> </w:t>
      </w:r>
      <w:hyperlink r:id="rId53">
        <w:r>
          <w:rPr>
            <w:rFonts w:ascii="Times New Roman" w:cs="Times New Roman" w:eastAsia="Times New Roman" w:hAnsi="Times New Roman"/>
            <w:sz w:val="17"/>
            <w:szCs w:val="17"/>
            <w:color w:val="auto"/>
          </w:rPr>
          <w:t>Stock Unit Award Agreements and Grant Notices</w:t>
        </w:r>
      </w:hyperlink>
    </w:p>
    <w:p>
      <w:pPr>
        <w:spacing w:after="0" w:line="8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Certification of President and Chief Executive Officer pursuant to Rules 13a-14(a)/15d-14(a) under the Securities Exchange Act of 1934, as amended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Rules 13a-14(a)/15d-14(a) under the Securities Exchange Act of 1934, as amended</w:t>
      </w:r>
    </w:p>
    <w:p>
      <w:pPr>
        <w:spacing w:after="0" w:line="23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Certification of President and Chief Executive Officer and Chief Financial Officer pursuant to 18 U.S.C. Section 1350, as adopted pursuant to Section 906 of the Sarbanes-Oxley Act of 2002</w:t>
      </w:r>
    </w:p>
    <w:p>
      <w:pPr>
        <w:spacing w:after="0" w:line="112"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Inline XBRL document</w:t>
      </w:r>
    </w:p>
    <w:p>
      <w:pPr>
        <w:spacing w:after="0" w:line="7" w:lineRule="exact"/>
        <w:rPr>
          <w:sz w:val="20"/>
          <w:szCs w:val="20"/>
          <w:color w:val="auto"/>
        </w:rPr>
      </w:pPr>
    </w:p>
    <w:p>
      <w:pPr>
        <w:ind w:right="440"/>
        <w:spacing w:after="0" w:line="234" w:lineRule="auto"/>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c>
          <w:tcPr>
            <w:tcW w:w="0" w:type="dxa"/>
            <w:vAlign w:val="bottom"/>
          </w:tcPr>
          <w:p>
            <w:pPr>
              <w:spacing w:after="0"/>
              <w:rPr>
                <w:sz w:val="1"/>
                <w:szCs w:val="1"/>
                <w:color w:val="auto"/>
              </w:rPr>
            </w:pPr>
          </w:p>
        </w:tc>
      </w:tr>
      <w:tr>
        <w:trPr>
          <w:trHeight w:val="196"/>
        </w:trPr>
        <w:tc>
          <w:tcPr>
            <w:tcW w:w="10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4"/>
        </w:trPr>
        <w:tc>
          <w:tcPr>
            <w:tcW w:w="9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20"/>
                <w:szCs w:val="20"/>
                <w:color w:val="auto"/>
              </w:rPr>
            </w:pPr>
          </w:p>
        </w:tc>
        <w:tc>
          <w:tcPr>
            <w:tcW w:w="12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3/5/2026</w:t>
            </w:r>
          </w:p>
        </w:tc>
        <w:tc>
          <w:tcPr>
            <w:tcW w:w="1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001-37844</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3/5/2026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t>
      </w:r>
    </w:p>
    <w:p>
      <w:pPr>
        <w:spacing w:after="0" w:line="401" w:lineRule="exact"/>
        <w:rPr>
          <w:sz w:val="20"/>
          <w:szCs w:val="20"/>
          <w:color w:val="auto"/>
        </w:rPr>
      </w:pPr>
    </w:p>
    <w:p>
      <w:pPr>
        <w:sectPr>
          <w:pgSz w:w="11900" w:h="16838" w:orient="portrait"/>
          <w:cols w:equalWidth="0" w:num="3">
            <w:col w:w="880" w:space="260"/>
            <w:col w:w="3580" w:space="140"/>
            <w:col w:w="6380"/>
          </w:cols>
          <w:pgMar w:left="320" w:top="121"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 Furnished</w:t>
            </w:r>
          </w:p>
        </w:tc>
        <w:tc>
          <w:tcPr>
            <w:tcW w:w="0" w:type="dxa"/>
            <w:vAlign w:val="bottom"/>
          </w:tcPr>
          <w:p>
            <w:pPr>
              <w:spacing w:after="0"/>
              <w:rPr>
                <w:sz w:val="1"/>
                <w:szCs w:val="1"/>
                <w:color w:val="auto"/>
              </w:rPr>
            </w:pPr>
          </w:p>
        </w:tc>
      </w:tr>
      <w:tr>
        <w:trPr>
          <w:trHeight w:val="195"/>
        </w:trPr>
        <w:tc>
          <w:tcPr>
            <w:tcW w:w="1120" w:type="dxa"/>
            <w:vAlign w:val="bottom"/>
            <w:gridSpan w:val="2"/>
            <w:vMerge w:val="continue"/>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74"/>
        </w:trPr>
        <w:tc>
          <w:tcPr>
            <w:tcW w:w="104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rPr>
              <w:t>101.CAL</w:t>
            </w:r>
          </w:p>
        </w:tc>
        <w:tc>
          <w:tcPr>
            <w:tcW w:w="80" w:type="dxa"/>
            <w:vAlign w:val="bottom"/>
          </w:tcPr>
          <w:p>
            <w:pPr>
              <w:spacing w:after="0"/>
              <w:rPr>
                <w:sz w:val="15"/>
                <w:szCs w:val="15"/>
                <w:color w:val="auto"/>
              </w:rPr>
            </w:pPr>
          </w:p>
        </w:tc>
        <w:tc>
          <w:tcPr>
            <w:tcW w:w="366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101.DEF</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Extension Definition Linkbase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101.PRE</w:t>
            </w: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6"/>
                <w:szCs w:val="16"/>
                <w:color w:val="auto"/>
              </w:rPr>
            </w:pPr>
          </w:p>
        </w:tc>
        <w:tc>
          <w:tcPr>
            <w:tcW w:w="3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61" w:lineRule="exact"/>
        <w:rPr>
          <w:sz w:val="20"/>
          <w:szCs w:val="20"/>
          <w:color w:val="auto"/>
        </w:rPr>
      </w:pPr>
    </w:p>
    <w:p>
      <w:pPr>
        <w:ind w:left="280" w:hanging="272"/>
        <w:spacing w:after="0"/>
        <w:tabs>
          <w:tab w:leader="none" w:pos="280" w:val="left"/>
        </w:tabs>
        <w:numPr>
          <w:ilvl w:val="0"/>
          <w:numId w:val="21"/>
        </w:numPr>
        <w:rPr>
          <w:rFonts w:ascii="MS PGothic" w:cs="MS PGothic" w:eastAsia="MS PGothic" w:hAnsi="MS PGothic"/>
          <w:sz w:val="23"/>
          <w:szCs w:val="23"/>
          <w:color w:val="auto"/>
          <w:vertAlign w:val="superscript"/>
        </w:rPr>
      </w:pPr>
      <w:r>
        <w:rPr>
          <w:rFonts w:ascii="Times New Roman" w:cs="Times New Roman" w:eastAsia="Times New Roman" w:hAnsi="Times New Roman"/>
          <w:sz w:val="18"/>
          <w:szCs w:val="18"/>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1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BIOVENTUS INC.</w:t>
            </w:r>
          </w:p>
        </w:tc>
      </w:tr>
      <w:tr>
        <w:trPr>
          <w:trHeight w:val="48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6, 2026</w:t>
            </w:r>
          </w:p>
        </w:tc>
        <w:tc>
          <w:tcPr>
            <w:tcW w:w="408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21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4"/>
        </w:trPr>
        <w:tc>
          <w:tcPr>
            <w:tcW w:w="2160" w:type="dxa"/>
            <w:vAlign w:val="bottom"/>
          </w:tcPr>
          <w:p>
            <w:pPr>
              <w:spacing w:after="0"/>
              <w:rPr>
                <w:sz w:val="24"/>
                <w:szCs w:val="24"/>
                <w:color w:val="auto"/>
              </w:rPr>
            </w:pPr>
          </w:p>
        </w:tc>
        <w:tc>
          <w:tcPr>
            <w:tcW w:w="4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Robert E. Claypoole certify that:</w:t>
      </w:r>
    </w:p>
    <w:p>
      <w:pPr>
        <w:spacing w:after="0" w:line="117" w:lineRule="exact"/>
        <w:rPr>
          <w:sz w:val="20"/>
          <w:szCs w:val="20"/>
          <w:color w:val="auto"/>
        </w:rPr>
      </w:pPr>
    </w:p>
    <w:p>
      <w:pPr>
        <w:ind w:left="520" w:hanging="188"/>
        <w:spacing w:after="0"/>
        <w:tabs>
          <w:tab w:leader="none" w:pos="520"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6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Date: May 6, 2026</w:t>
      </w:r>
    </w:p>
    <w:p>
      <w:pPr>
        <w:sectPr>
          <w:pgSz w:w="11900" w:h="16838" w:orient="portrait"/>
          <w:cols w:equalWidth="0" w:num="1">
            <w:col w:w="11240"/>
          </w:cols>
          <w:pgMar w:left="320" w:top="6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Mark L. Singleton, certify that:</w:t>
      </w:r>
    </w:p>
    <w:p>
      <w:pPr>
        <w:spacing w:after="0" w:line="117" w:lineRule="exact"/>
        <w:rPr>
          <w:sz w:val="20"/>
          <w:szCs w:val="20"/>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2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ectPr>
          <w:pgSz w:w="11900" w:h="16838" w:orient="portrait"/>
          <w:cols w:equalWidth="0" w:num="1">
            <w:col w:w="11240"/>
          </w:cols>
          <w:pgMar w:left="320" w:top="84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3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Quarterly Report on Form 10-Q of Bioventus Inc. (the Company) for the quarter ended March 28, 2026, as filed with the Securities and Exchange Commission on the date hereof (the Report), each of Robert E. Claypoole, President and Chief Executive Officer of the Company and Mark L. Singleton, Senior Vice President and Chief Financial Officer of the Company, hereby certifies, that, to such officer's knowledge:</w:t>
      </w:r>
    </w:p>
    <w:p>
      <w:pPr>
        <w:spacing w:after="0" w:line="78"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r>
        <w:trPr>
          <w:trHeight w:val="486"/>
        </w:trPr>
        <w:tc>
          <w:tcPr>
            <w:tcW w:w="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3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lvl w:ilvl="1">
      <w:lvlJc w:val="left"/>
      <w:lvlText w:val="(%2)"/>
      <w:numFmt w:val="lowerLetter"/>
      <w:start w:val="1"/>
    </w:lvl>
  </w:abstractNum>
  <w:abstractNum w:abstractNumId="8">
    <w:nsid w:val="4E6AFB66"/>
    <w:multiLevelType w:val="hybridMultilevel"/>
    <w:lvl w:ilvl="0">
      <w:lvlJc w:val="left"/>
      <w:lvlText w:val="%1."/>
      <w:numFmt w:val="decimal"/>
      <w:start w:val="9"/>
    </w:lvl>
    <w:lvl w:ilvl="1">
      <w:lvlJc w:val="left"/>
      <w:lvlText w:val="%2"/>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Letter"/>
      <w:start w:val="5"/>
    </w:lvl>
  </w:abstractNum>
  <w:abstractNum w:abstractNumId="12">
    <w:nsid w:val="3F2DBA31"/>
    <w:multiLevelType w:val="hybridMultilevel"/>
    <w:lvl w:ilvl="0">
      <w:lvlJc w:val="left"/>
      <w:lvlText w:val="%1."/>
      <w:numFmt w:val="decimal"/>
      <w:start w:val="14"/>
    </w:lvl>
    <w:lvl w:ilvl="1">
      <w:lvlJc w:val="left"/>
      <w:lvlText w:val="%2"/>
      <w:numFmt w:val="lowerLetter"/>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3" Type="http://schemas.openxmlformats.org/officeDocument/2006/relationships/hyperlink" Target="https://www.sec.gov/Archives/edgar/data/1665988/000166598826000011/exhibit1018-q42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2026-05-06T06:51:22Z</dcterms:created>
  <dcterms:modified xsi:type="dcterms:W3CDTF">2026-05-06T06:51:22Z</dcterms:modified>
</cp:coreProperties>
</file>